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_rels/footer1.xml.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media/image1.jpeg" ContentType="image/jpeg"/>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60"/>
        <w:rPr>
          <w:rFonts w:ascii="Calibri" w:hAnsi="Calibri" w:eastAsia="Calibri" w:cs="Calibri"/>
          <w:b/>
          <w:bCs/>
          <w:sz w:val="30"/>
          <w:szCs w:val="30"/>
        </w:rPr>
      </w:pPr>
      <w:r>
        <w:rPr>
          <w:rFonts w:eastAsia="Calibri" w:cs="Calibri" w:ascii="Calibri" w:hAnsi="Calibri"/>
          <w:b/>
          <w:bCs/>
          <w:sz w:val="30"/>
          <w:szCs w:val="30"/>
        </w:rPr>
        <w:t xml:space="preserve">Politique de protection des lanceurs d’alerte</w:t>
      </w:r>
    </w:p>
    <w:p>
      <w:pPr>
        <w:pStyle w:val="Normal"/>
        <w:spacing w:before="240" w:after="90"/>
        <w:rPr>
          <w:rFonts w:ascii="Calibri" w:hAnsi="Calibri" w:eastAsia="Calibri" w:cs="Calibri"/>
          <w:b/>
          <w:bCs/>
          <w:sz w:val="23"/>
          <w:szCs w:val="23"/>
        </w:rPr>
      </w:pPr>
      <w:r>
        <w:rPr>
          <w:rFonts w:eastAsia="Calibri" w:cs="Calibri" w:ascii="Calibri" w:hAnsi="Calibri"/>
          <w:b/>
          <w:bCs/>
          <w:sz w:val="23"/>
          <w:szCs w:val="23"/>
        </w:rPr>
        <w:t xml:space="preserve">1. Engagement de l’entreprise</w:t>
      </w:r>
    </w:p>
    <w:p>
      <w:pPr>
        <w:pStyle w:val="Normal"/>
        <w:spacing w:lineRule="auto" w:line="276" w:before="0" w:after="120"/>
        <w:jc w:val="both"/>
        <w:rPr/>
      </w:pPr>
      <w:r>
        <w:rPr>
          <w:rFonts w:eastAsia="Calibri" w:cs="Calibri" w:ascii="Calibri" w:hAnsi="Calibri"/>
          <w:sz w:val="21"/>
          <w:szCs w:val="21"/>
        </w:rPr>
        <w:t xml:space="preserve">Artegraf S.r.l. considère la possibilité de signaler librement des comportements répréhensibles comme un élément essentiel de sa culture organisationnelle et de sa responsabilité envers ses collaborateurs, ses clients, ses fournisseurs et la communauté. L’entreprise s’engage formellement à protéger de toute forme de représailles la personne qui effectue un signalement de bonne foi, indépendamment du fait que le signalement se révèle ensuite fondé ou non.</w:t>
      </w:r>
    </w:p>
    <w:p>
      <w:pPr>
        <w:pStyle w:val="Normal"/>
        <w:spacing w:before="240" w:after="90"/>
        <w:rPr>
          <w:rFonts w:ascii="Calibri" w:hAnsi="Calibri" w:eastAsia="Calibri" w:cs="Calibri"/>
          <w:b/>
          <w:bCs/>
          <w:sz w:val="23"/>
          <w:szCs w:val="23"/>
        </w:rPr>
      </w:pPr>
      <w:r>
        <w:rPr>
          <w:rFonts w:eastAsia="Calibri" w:cs="Calibri" w:ascii="Calibri" w:hAnsi="Calibri"/>
          <w:b/>
          <w:bCs/>
          <w:sz w:val="23"/>
          <w:szCs w:val="23"/>
        </w:rPr>
        <w:t xml:space="preserve">2. Personnes concernées</w:t>
      </w:r>
    </w:p>
    <w:p>
      <w:pPr>
        <w:pStyle w:val="Normal"/>
        <w:spacing w:lineRule="auto" w:line="276" w:before="0" w:after="120"/>
        <w:jc w:val="both"/>
        <w:rPr>
          <w:rFonts w:ascii="Calibri" w:hAnsi="Calibri" w:eastAsia="Calibri" w:cs="Calibri"/>
          <w:sz w:val="21"/>
          <w:szCs w:val="21"/>
        </w:rPr>
      </w:pPr>
      <w:r>
        <w:rPr>
          <w:rFonts w:eastAsia="Calibri" w:cs="Calibri" w:ascii="Calibri" w:hAnsi="Calibri"/>
          <w:sz w:val="21"/>
          <w:szCs w:val="21"/>
        </w:rPr>
        <w:t xml:space="preserve">La protection s’étend :</w:t>
      </w:r>
    </w:p>
    <w:p>
      <w:pPr>
        <w:pStyle w:val="Normal"/>
        <w:numPr>
          <w:ilvl w:val="0"/>
          <w:numId w:val="2"/>
        </w:numPr>
        <w:spacing w:lineRule="auto" w:line="276" w:before="0" w:after="70"/>
        <w:rPr/>
      </w:pPr>
      <w:r>
        <w:rPr>
          <w:rFonts w:eastAsia="Calibri" w:cs="Calibri" w:ascii="Calibri" w:hAnsi="Calibri"/>
          <w:color w:val="000000"/>
          <w:sz w:val="21"/>
          <w:szCs w:val="21"/>
        </w:rPr>
        <w:t xml:space="preserve">à l’auteur du signalement (salariés, collaborateurs, stagiaires, associés, membres des organes sociaux, clients, fournisseurs et leurs salariés, autres parties prenantes) ;</w:t>
      </w:r>
    </w:p>
    <w:p>
      <w:pPr>
        <w:pStyle w:val="Normal"/>
        <w:numPr>
          <w:ilvl w:val="0"/>
          <w:numId w:val="2"/>
        </w:numPr>
        <w:spacing w:lineRule="auto" w:line="276" w:before="0" w:after="70"/>
        <w:rPr/>
      </w:pPr>
      <w:r>
        <w:rPr>
          <w:rFonts w:eastAsia="Calibri" w:cs="Calibri" w:ascii="Calibri" w:hAnsi="Calibri"/>
          <w:color w:val="000000"/>
          <w:sz w:val="21"/>
          <w:szCs w:val="21"/>
        </w:rPr>
        <w:t xml:space="preserve">aux facilitateurs, c’est-à-dire aux personnes qui assistent l’auteur du signalement dans la procédure ;</w:t>
      </w:r>
    </w:p>
    <w:p>
      <w:pPr>
        <w:pStyle w:val="Normal"/>
        <w:numPr>
          <w:ilvl w:val="0"/>
          <w:numId w:val="2"/>
        </w:numPr>
        <w:spacing w:lineRule="auto" w:line="276" w:before="0" w:after="70"/>
        <w:rPr/>
      </w:pPr>
      <w:r>
        <w:rPr>
          <w:rFonts w:eastAsia="Calibri" w:cs="Calibri" w:ascii="Calibri" w:hAnsi="Calibri"/>
          <w:color w:val="000000"/>
          <w:sz w:val="21"/>
          <w:szCs w:val="21"/>
        </w:rPr>
        <w:t xml:space="preserve">aux collègues et aux proches de l’auteur du signalement travaillant dans le même contexte professionnel ;</w:t>
      </w:r>
    </w:p>
    <w:p>
      <w:pPr>
        <w:pStyle w:val="Normal"/>
        <w:numPr>
          <w:ilvl w:val="0"/>
          <w:numId w:val="2"/>
        </w:numPr>
        <w:spacing w:lineRule="auto" w:line="276" w:before="0" w:after="70"/>
        <w:rPr/>
      </w:pPr>
      <w:r>
        <w:rPr>
          <w:rFonts w:eastAsia="Calibri" w:cs="Calibri" w:ascii="Calibri" w:hAnsi="Calibri"/>
          <w:color w:val="000000"/>
          <w:sz w:val="21"/>
          <w:szCs w:val="21"/>
        </w:rPr>
        <w:t xml:space="preserve">aux personnes morales liées à l’auteur du signalement ou au sein desquelles il travaille.</w:t>
      </w:r>
    </w:p>
    <w:p>
      <w:pPr>
        <w:pStyle w:val="Normal"/>
        <w:spacing w:before="240" w:after="90"/>
        <w:rPr>
          <w:rFonts w:ascii="Calibri" w:hAnsi="Calibri" w:eastAsia="Calibri" w:cs="Calibri"/>
          <w:b/>
          <w:bCs/>
          <w:sz w:val="23"/>
          <w:szCs w:val="23"/>
        </w:rPr>
      </w:pPr>
      <w:r>
        <w:rPr>
          <w:rFonts w:eastAsia="Calibri" w:cs="Calibri" w:ascii="Calibri" w:hAnsi="Calibri"/>
          <w:b/>
          <w:bCs/>
          <w:sz w:val="23"/>
          <w:szCs w:val="23"/>
        </w:rPr>
        <w:t xml:space="preserve">3. Comportements de représailles interdits</w:t>
      </w:r>
    </w:p>
    <w:p>
      <w:pPr>
        <w:pStyle w:val="Normal"/>
        <w:spacing w:lineRule="auto" w:line="276" w:before="0" w:after="120"/>
        <w:jc w:val="both"/>
        <w:rPr>
          <w:rFonts w:ascii="Calibri" w:hAnsi="Calibri" w:eastAsia="Calibri" w:cs="Calibri"/>
          <w:sz w:val="21"/>
          <w:szCs w:val="21"/>
        </w:rPr>
      </w:pPr>
      <w:r>
        <w:rPr>
          <w:rFonts w:eastAsia="Calibri" w:cs="Calibri" w:ascii="Calibri" w:hAnsi="Calibri"/>
          <w:sz w:val="21"/>
          <w:szCs w:val="21"/>
        </w:rPr>
        <w:t xml:space="preserve">Tout acte ou omission, même seulement tenté, causant un préjudice à l’auteur du signalement en raison de celui-ci est interdit. À titre d’exemple :</w:t>
      </w:r>
    </w:p>
    <w:p>
      <w:pPr>
        <w:pStyle w:val="Normal"/>
        <w:numPr>
          <w:ilvl w:val="0"/>
          <w:numId w:val="2"/>
        </w:numPr>
        <w:spacing w:lineRule="auto" w:line="276" w:before="0" w:after="70"/>
        <w:rPr/>
      </w:pPr>
      <w:r>
        <w:rPr>
          <w:rFonts w:eastAsia="Calibri" w:cs="Calibri" w:ascii="Calibri" w:hAnsi="Calibri"/>
          <w:color w:val="000000"/>
          <w:sz w:val="21"/>
          <w:szCs w:val="21"/>
        </w:rPr>
        <w:t xml:space="preserve">licenciement, suspension, non-renouvellement ou modification défavorable de la relation de travail ;</w:t>
      </w:r>
    </w:p>
    <w:p>
      <w:pPr>
        <w:pStyle w:val="Normal"/>
        <w:numPr>
          <w:ilvl w:val="0"/>
          <w:numId w:val="2"/>
        </w:numPr>
        <w:spacing w:lineRule="auto" w:line="276" w:before="0" w:after="70"/>
        <w:rPr/>
      </w:pPr>
      <w:r>
        <w:rPr>
          <w:rFonts w:eastAsia="Calibri" w:cs="Calibri" w:ascii="Calibri" w:hAnsi="Calibri"/>
          <w:color w:val="000000"/>
          <w:sz w:val="21"/>
          <w:szCs w:val="21"/>
        </w:rPr>
        <w:t xml:space="preserve">rétrogradation, mutation, changement de fonctions ou d’horaires à titre de sanction ;</w:t>
      </w:r>
    </w:p>
    <w:p>
      <w:pPr>
        <w:pStyle w:val="Normal"/>
        <w:numPr>
          <w:ilvl w:val="0"/>
          <w:numId w:val="2"/>
        </w:numPr>
        <w:spacing w:lineRule="auto" w:line="276" w:before="0" w:after="70"/>
        <w:rPr/>
      </w:pPr>
      <w:r>
        <w:rPr>
          <w:rFonts w:eastAsia="Calibri" w:cs="Calibri" w:ascii="Calibri" w:hAnsi="Calibri"/>
          <w:color w:val="000000"/>
          <w:sz w:val="21"/>
          <w:szCs w:val="21"/>
        </w:rPr>
        <w:t xml:space="preserve">refus de promotion, réduction de la rémunération ou exclusion de formations et d’opportunités ;</w:t>
      </w:r>
    </w:p>
    <w:p>
      <w:pPr>
        <w:pStyle w:val="Normal"/>
        <w:numPr>
          <w:ilvl w:val="0"/>
          <w:numId w:val="2"/>
        </w:numPr>
        <w:spacing w:lineRule="auto" w:line="276" w:before="0" w:after="70"/>
        <w:rPr/>
      </w:pPr>
      <w:r>
        <w:rPr>
          <w:rFonts w:eastAsia="Calibri" w:cs="Calibri" w:ascii="Calibri" w:hAnsi="Calibri"/>
          <w:color w:val="000000"/>
          <w:sz w:val="21"/>
          <w:szCs w:val="21"/>
        </w:rPr>
        <w:t xml:space="preserve">notes défavorables, procédures disciplinaires prétextuelles, évaluations négatives non motivées ;</w:t>
      </w:r>
    </w:p>
    <w:p>
      <w:pPr>
        <w:pStyle w:val="Normal"/>
        <w:numPr>
          <w:ilvl w:val="0"/>
          <w:numId w:val="2"/>
        </w:numPr>
        <w:spacing w:lineRule="auto" w:line="276" w:before="0" w:after="70"/>
        <w:rPr/>
      </w:pPr>
      <w:r>
        <w:rPr>
          <w:rFonts w:eastAsia="Calibri" w:cs="Calibri" w:ascii="Calibri" w:hAnsi="Calibri"/>
          <w:color w:val="000000"/>
          <w:sz w:val="21"/>
          <w:szCs w:val="21"/>
        </w:rPr>
        <w:t xml:space="preserve">isolement, marginalisation, harcèlement ou comportements vexatoires ;</w:t>
      </w:r>
    </w:p>
    <w:p>
      <w:pPr>
        <w:pStyle w:val="Normal"/>
        <w:numPr>
          <w:ilvl w:val="0"/>
          <w:numId w:val="2"/>
        </w:numPr>
        <w:spacing w:lineRule="auto" w:line="276" w:before="0" w:after="70"/>
        <w:rPr/>
      </w:pPr>
      <w:r>
        <w:rPr>
          <w:rFonts w:eastAsia="Calibri" w:cs="Calibri" w:ascii="Calibri" w:hAnsi="Calibri"/>
          <w:color w:val="000000"/>
          <w:sz w:val="21"/>
          <w:szCs w:val="21"/>
        </w:rPr>
        <w:t xml:space="preserve">interruption, résiliation anticipée ou non-renouvellement de contrats de fourniture ou de collaboration ;</w:t>
      </w:r>
    </w:p>
    <w:p>
      <w:pPr>
        <w:pStyle w:val="Normal"/>
        <w:numPr>
          <w:ilvl w:val="0"/>
          <w:numId w:val="2"/>
        </w:numPr>
        <w:spacing w:lineRule="auto" w:line="276" w:before="0" w:after="70"/>
        <w:rPr/>
      </w:pPr>
      <w:r>
        <w:rPr>
          <w:rFonts w:eastAsia="Calibri" w:cs="Calibri" w:ascii="Calibri" w:hAnsi="Calibri"/>
          <w:color w:val="000000"/>
          <w:sz w:val="21"/>
          <w:szCs w:val="21"/>
        </w:rPr>
        <w:t xml:space="preserve">intimidations, menaces ou actions en justice engagées à des fins de représailles.</w:t>
      </w:r>
    </w:p>
    <w:p>
      <w:pPr>
        <w:pStyle w:val="Normal"/>
        <w:spacing w:before="240" w:after="90"/>
        <w:rPr>
          <w:rFonts w:ascii="Calibri" w:hAnsi="Calibri" w:eastAsia="Calibri" w:cs="Calibri"/>
          <w:b/>
          <w:bCs/>
          <w:sz w:val="23"/>
          <w:szCs w:val="23"/>
        </w:rPr>
      </w:pPr>
      <w:r>
        <w:rPr>
          <w:rFonts w:eastAsia="Calibri" w:cs="Calibri" w:ascii="Calibri" w:hAnsi="Calibri"/>
          <w:b/>
          <w:bCs/>
          <w:sz w:val="23"/>
          <w:szCs w:val="23"/>
        </w:rPr>
        <w:t xml:space="preserve">4. Phase de réparation : conséquences et suppression des effets</w:t>
      </w:r>
    </w:p>
    <w:p>
      <w:pPr>
        <w:pStyle w:val="Normal"/>
        <w:spacing w:lineRule="auto" w:line="276" w:before="0" w:after="120"/>
        <w:jc w:val="both"/>
        <w:rPr/>
      </w:pPr>
      <w:r>
        <w:rPr>
          <w:rFonts w:eastAsia="Calibri" w:cs="Calibri" w:ascii="Calibri" w:hAnsi="Calibri"/>
          <w:color w:val="000000"/>
          <w:sz w:val="21"/>
          <w:szCs w:val="21"/>
        </w:rPr>
        <w:t xml:space="preserve">La constatation d’un comportement de représailles, ou de toute autre violation de la présente politique, entraîne l’adoption de conséquences proportionnées à l’égard des responsables et la suppression des effets produits. Les modalités opérationnelles de gestion du signalement — délais, contradictoire, mesures provisoires, facilitation de la résolution, clôture et vérification — sont définies par la Procédure de gestion des signalements (points 6 et 7), qui fait partie intégrante de la présente politique.</w:t>
      </w:r>
    </w:p>
    <w:p>
      <w:pPr>
        <w:pStyle w:val="Normal"/>
        <w:spacing w:before="180" w:after="60"/>
        <w:rPr>
          <w:rFonts w:ascii="Calibri" w:hAnsi="Calibri" w:eastAsia="Calibri" w:cs="Calibri"/>
          <w:b/>
          <w:bCs/>
          <w:sz w:val="21"/>
          <w:szCs w:val="21"/>
        </w:rPr>
      </w:pPr>
      <w:r>
        <w:rPr>
          <w:rFonts w:eastAsia="Calibri" w:cs="Calibri" w:ascii="Calibri" w:hAnsi="Calibri"/>
          <w:b/>
          <w:bCs/>
          <w:color w:val="000000"/>
          <w:sz w:val="21"/>
          <w:szCs w:val="21"/>
        </w:rPr>
        <w:t xml:space="preserve">4.1 Critères de graduation des mesures</w:t>
      </w:r>
    </w:p>
    <w:p>
      <w:pPr>
        <w:pStyle w:val="Normal"/>
        <w:spacing w:lineRule="auto" w:line="276" w:before="0" w:after="120"/>
        <w:jc w:val="both"/>
        <w:rPr/>
      </w:pPr>
      <w:r>
        <w:rPr>
          <w:rFonts w:eastAsia="Calibri" w:cs="Calibri" w:ascii="Calibri" w:hAnsi="Calibri"/>
          <w:color w:val="000000"/>
          <w:sz w:val="21"/>
          <w:szCs w:val="21"/>
        </w:rPr>
        <w:t xml:space="preserve">La mesure appliquée est proportionnée et tient compte de : la gravité et la répétition du comportement, l’intentionnalité, la position et le degré de responsabilité de la personne, l’ampleur du préjudice causé à l’auteur du signalement et à l’organisation, l’existence d’une intention de représailles, le comportement adopté pendant l’instruction et la disponibilité à réparer. Les mesures peuvent être cumulées (par exemple sanction disciplinaire et formation complémentaire).</w:t>
      </w:r>
    </w:p>
    <w:p>
      <w:pPr>
        <w:pStyle w:val="Normal"/>
        <w:spacing w:before="180" w:after="60"/>
        <w:rPr>
          <w:rFonts w:ascii="Calibri" w:hAnsi="Calibri" w:eastAsia="Calibri" w:cs="Calibri"/>
          <w:b/>
          <w:bCs/>
          <w:sz w:val="21"/>
          <w:szCs w:val="21"/>
        </w:rPr>
      </w:pPr>
      <w:r>
        <w:rPr>
          <w:rFonts w:eastAsia="Calibri" w:cs="Calibri" w:ascii="Calibri" w:hAnsi="Calibri"/>
          <w:b/>
          <w:bCs/>
          <w:color w:val="000000"/>
          <w:sz w:val="21"/>
          <w:szCs w:val="21"/>
        </w:rPr>
        <w:t xml:space="preserve">4.2 Conséquences par type de partie prenante</w:t>
      </w:r>
    </w:p>
    <w:p>
      <w:pPr>
        <w:pStyle w:val="Normal"/>
        <w:spacing w:lineRule="auto" w:line="276" w:before="0" w:after="120"/>
        <w:jc w:val="both"/>
        <w:rPr/>
      </w:pPr>
      <w:r>
        <w:rPr>
          <w:rFonts w:eastAsia="Calibri" w:cs="Calibri" w:ascii="Calibri" w:hAnsi="Calibri"/>
          <w:color w:val="000000"/>
          <w:sz w:val="21"/>
          <w:szCs w:val="21"/>
        </w:rPr>
        <w:t xml:space="preserve">Le tableau ci-dessous indique, pour chaque type de partie prenante, les mesures applicables ainsi que des exemples de cas correspondant à chaque conséquence. Ces exemples sont donnés à titre indicatif et non exhaustif.</w:t>
      </w:r>
    </w:p>
    <w:tbl>
      <w:tblPr>
        <w:tblW w:w="10386" w:type="dxa"/>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0" w:type="dxa"/>
          <w:left w:w="80" w:type="dxa"/>
          <w:bottom w:w="0" w:type="dxa"/>
          <w:right w:w="80" w:type="dxa"/>
        </w:tblCellMar>
      </w:tblPr>
      <w:tblGrid>
        <w:gridCol w:w="2400"/>
        <w:gridCol w:w="4200"/>
        <w:gridCol w:w="3786"/>
      </w:tblGrid>
      <w:tr>
        <w:trPr>
          <w:tblHeader/>
          <w:cantSplit w:val="false"/>
        </w:trPr>
        <w:tc>
          <w:tcPr>
            <w:tcW w:w="2400" w:type="dxa"/>
            <w:shd w:val="clear" w:fill="EDEDED"/>
            <w:tcMar>
              <w:top w:w="60" w:type="dxa"/>
              <w:left w:w="80" w:type="dxa"/>
              <w:bottom w:w="60" w:type="dxa"/>
              <w:right w:w="80" w:type="dxa"/>
            </w:tcMar>
          </w:tcPr>
          <w:p>
            <w:pPr>
              <w:pStyle w:val="Normal"/>
              <w:spacing w:lineRule="auto" w:line="252" w:before="40" w:after="0"/>
              <w:rPr/>
            </w:pPr>
            <w:r>
              <w:rPr>
                <w:rFonts w:eastAsia="Calibri" w:cs="Calibri" w:ascii="Calibri" w:hAnsi="Calibri"/>
                <w:b/>
                <w:bCs/>
                <w:color w:val="000000"/>
                <w:sz w:val="21"/>
                <w:szCs w:val="21"/>
              </w:rPr>
              <w:t xml:space="preserve">Partie prenante</w:t>
            </w:r>
          </w:p>
        </w:tc>
        <w:tc>
          <w:tcPr>
            <w:tcW w:w="4200" w:type="dxa"/>
            <w:shd w:val="clear" w:fill="EDEDED"/>
            <w:tcMar>
              <w:top w:w="60" w:type="dxa"/>
              <w:left w:w="80" w:type="dxa"/>
              <w:bottom w:w="60" w:type="dxa"/>
              <w:right w:w="80" w:type="dxa"/>
            </w:tcMar>
          </w:tcPr>
          <w:p>
            <w:pPr>
              <w:pStyle w:val="Normal"/>
              <w:spacing w:lineRule="auto" w:line="252" w:before="40" w:after="0"/>
              <w:rPr/>
            </w:pPr>
            <w:r>
              <w:rPr>
                <w:rFonts w:eastAsia="Calibri" w:cs="Calibri" w:ascii="Calibri" w:hAnsi="Calibri"/>
                <w:b/>
                <w:bCs/>
                <w:color w:val="000000"/>
                <w:sz w:val="21"/>
                <w:szCs w:val="21"/>
              </w:rPr>
              <w:t xml:space="preserve">Mesures correctives et de réparation applicables</w:t>
            </w:r>
          </w:p>
        </w:tc>
        <w:tc>
          <w:tcPr>
            <w:tcW w:w="3786" w:type="dxa"/>
            <w:shd w:val="clear" w:fill="EDEDED"/>
            <w:tcMar>
              <w:top w:w="60" w:type="dxa"/>
              <w:left w:w="80" w:type="dxa"/>
              <w:bottom w:w="60" w:type="dxa"/>
              <w:right w:w="80" w:type="dxa"/>
            </w:tcMar>
          </w:tcPr>
          <w:p>
            <w:pPr>
              <w:pStyle w:val="Normal"/>
              <w:spacing w:lineRule="auto" w:line="252" w:before="40" w:after="0"/>
              <w:rPr/>
            </w:pPr>
            <w:r>
              <w:rPr>
                <w:rFonts w:eastAsia="Calibri" w:cs="Calibri" w:ascii="Calibri" w:hAnsi="Calibri"/>
                <w:b/>
                <w:bCs/>
                <w:color w:val="000000"/>
                <w:sz w:val="21"/>
                <w:szCs w:val="21"/>
              </w:rPr>
              <w:t xml:space="preserve">Exemples de cas</w:t>
            </w:r>
          </w:p>
        </w:tc>
      </w:tr>
      <w:tr>
        <w:trPr>
          <w:cantSplit w:val="false"/>
        </w:trPr>
        <w:tc>
          <w:tcPr>
            <w:tcW w:w="2400" w:type="dxa"/>
            <w:tcMar>
              <w:top w:w="60" w:type="dxa"/>
              <w:left w:w="80" w:type="dxa"/>
              <w:bottom w:w="60" w:type="dxa"/>
              <w:right w:w="80" w:type="dxa"/>
            </w:tcMar>
          </w:tcPr>
          <w:p>
            <w:pPr>
              <w:pStyle w:val="Normal"/>
              <w:spacing w:lineRule="auto" w:line="252" w:before="40" w:after="0"/>
              <w:rPr/>
            </w:pPr>
            <w:r>
              <w:rPr>
                <w:rFonts w:eastAsia="Calibri" w:cs="Calibri" w:ascii="Calibri" w:hAnsi="Calibri"/>
                <w:color w:val="000000"/>
                <w:sz w:val="21"/>
                <w:szCs w:val="21"/>
              </w:rPr>
              <w:t xml:space="preserve">Salariés et cadres dirigeants</w:t>
            </w:r>
          </w:p>
        </w:tc>
        <w:tc>
          <w:tcPr>
            <w:tcW w:w="4200" w:type="dxa"/>
            <w:tcMar>
              <w:top w:w="60" w:type="dxa"/>
              <w:left w:w="80" w:type="dxa"/>
              <w:bottom w:w="60" w:type="dxa"/>
              <w:right w:w="80" w:type="dxa"/>
            </w:tcMar>
          </w:tcPr>
          <w:p>
            <w:pPr>
              <w:pStyle w:val="Normal"/>
              <w:spacing w:lineRule="auto" w:line="252" w:before="40" w:after="0"/>
              <w:rPr/>
            </w:pPr>
            <w:r>
              <w:rPr>
                <w:rFonts w:eastAsia="Calibri" w:cs="Calibri" w:ascii="Calibri" w:hAnsi="Calibri"/>
                <w:color w:val="000000"/>
                <w:sz w:val="21"/>
                <w:szCs w:val="21"/>
              </w:rPr>
              <w:t xml:space="preserve">Avertissement verbal ou écrit ; formation complémentaire obligatoire sur le signalement, la conduite et le leadership ; accompagnement et suivi ; retrait de délégations ou de responsabilités hiérarchiques ; amende ou mise à pied disciplinaire sans rémunération ; mutation de la personne responsable du comportement ; licenciement pour motif justifié ou pour faute grave, conformément à la convention collective applicable et au code disciplinaire de l’entreprise.</w:t>
            </w:r>
          </w:p>
        </w:tc>
        <w:tc>
          <w:tcPr>
            <w:tcW w:w="3786" w:type="dxa"/>
            <w:tcMar>
              <w:top w:w="60" w:type="dxa"/>
              <w:left w:w="80" w:type="dxa"/>
              <w:bottom w:w="60" w:type="dxa"/>
              <w:right w:w="80" w:type="dxa"/>
            </w:tcMar>
          </w:tcPr>
          <w:p>
            <w:pPr>
              <w:pStyle w:val="Normal"/>
              <w:spacing w:lineRule="auto" w:line="252" w:before="40" w:after="60"/>
              <w:rPr/>
            </w:pPr>
            <w:r>
              <w:rPr>
                <w:rFonts w:eastAsia="Calibri" w:cs="Calibri" w:ascii="Calibri" w:hAnsi="Calibri"/>
                <w:color w:val="000000"/>
                <w:sz w:val="21"/>
                <w:szCs w:val="21"/>
              </w:rPr>
              <w:t xml:space="preserve">Un responsable exclut des réunions et des projets la personne qui a effectué un signalement : mise à pied, retrait de la responsabilité de l’équipe et parcours de formation avec suivi à six mois.</w:t>
            </w:r>
          </w:p>
          <w:p>
            <w:pPr>
              <w:pStyle w:val="Normal"/>
              <w:spacing w:lineRule="auto" w:line="252" w:before="40" w:after="60"/>
              <w:rPr/>
            </w:pPr>
            <w:r>
              <w:rPr>
                <w:rFonts w:eastAsia="Calibri" w:cs="Calibri" w:ascii="Calibri" w:hAnsi="Calibri"/>
                <w:color w:val="000000"/>
                <w:sz w:val="21"/>
                <w:szCs w:val="21"/>
              </w:rPr>
              <w:t xml:space="preserve">Un collègue révèle par négligence l’identité de l’auteur du signalement : avertissement écrit et formation à la confidentialité ; si la divulgation est intentionnelle et cause un préjudice grave, licenciement.</w:t>
            </w:r>
          </w:p>
          <w:p>
            <w:pPr>
              <w:pStyle w:val="Normal"/>
              <w:spacing w:lineRule="auto" w:line="252" w:before="40" w:after="0"/>
              <w:rPr/>
            </w:pPr>
            <w:r>
              <w:rPr>
                <w:rFonts w:eastAsia="Calibri" w:cs="Calibri" w:ascii="Calibri" w:hAnsi="Calibri"/>
                <w:color w:val="000000"/>
                <w:sz w:val="21"/>
                <w:szCs w:val="21"/>
              </w:rPr>
              <w:t xml:space="preserve">Un cadre engage une procédure disciplinaire prétextuelle ou refuse une promotion déjà acquise : annulation de l’acte, retrait des délégations et, dans les cas les plus graves, licenciement.</w:t>
            </w:r>
          </w:p>
        </w:tc>
      </w:tr>
      <w:tr>
        <w:trPr>
          <w:cantSplit w:val="false"/>
        </w:trPr>
        <w:tc>
          <w:tcPr>
            <w:tcW w:w="2400" w:type="dxa"/>
            <w:tcMar>
              <w:top w:w="60" w:type="dxa"/>
              <w:left w:w="80" w:type="dxa"/>
              <w:bottom w:w="60" w:type="dxa"/>
              <w:right w:w="80" w:type="dxa"/>
            </w:tcMar>
          </w:tcPr>
          <w:p>
            <w:pPr>
              <w:pStyle w:val="Normal"/>
              <w:spacing w:lineRule="auto" w:line="252" w:before="40" w:after="0"/>
              <w:rPr/>
            </w:pPr>
            <w:r>
              <w:rPr>
                <w:rFonts w:eastAsia="Calibri" w:cs="Calibri" w:ascii="Calibri" w:hAnsi="Calibri"/>
                <w:color w:val="000000"/>
                <w:sz w:val="21"/>
                <w:szCs w:val="21"/>
              </w:rPr>
              <w:t xml:space="preserve">Collaborateurs, stagiaires et travailleurs intérimaires</w:t>
            </w:r>
          </w:p>
        </w:tc>
        <w:tc>
          <w:tcPr>
            <w:tcW w:w="4200" w:type="dxa"/>
            <w:tcMar>
              <w:top w:w="60" w:type="dxa"/>
              <w:left w:w="80" w:type="dxa"/>
              <w:bottom w:w="60" w:type="dxa"/>
              <w:right w:w="80" w:type="dxa"/>
            </w:tcMar>
          </w:tcPr>
          <w:p>
            <w:pPr>
              <w:pStyle w:val="Normal"/>
              <w:spacing w:lineRule="auto" w:line="252" w:before="40" w:after="0"/>
              <w:rPr/>
            </w:pPr>
            <w:r>
              <w:rPr>
                <w:rFonts w:eastAsia="Calibri" w:cs="Calibri" w:ascii="Calibri" w:hAnsi="Calibri"/>
                <w:color w:val="000000"/>
                <w:sz w:val="21"/>
                <w:szCs w:val="21"/>
              </w:rPr>
              <w:t xml:space="preserve">Avertissement formel ; formation complémentaire ; remplacement du tuteur ou du référent ; demande formelle de réparation à l’agence ou à l’organisme promoteur ; résiliation du contrat de collaboration ; interruption du stage ou de la mission.</w:t>
            </w:r>
          </w:p>
        </w:tc>
        <w:tc>
          <w:tcPr>
            <w:tcW w:w="3786" w:type="dxa"/>
            <w:tcMar>
              <w:top w:w="60" w:type="dxa"/>
              <w:left w:w="80" w:type="dxa"/>
              <w:bottom w:w="60" w:type="dxa"/>
              <w:right w:w="80" w:type="dxa"/>
            </w:tcMar>
          </w:tcPr>
          <w:p>
            <w:pPr>
              <w:pStyle w:val="Normal"/>
              <w:spacing w:lineRule="auto" w:line="252" w:before="40" w:after="60"/>
              <w:rPr/>
            </w:pPr>
            <w:r>
              <w:rPr>
                <w:rFonts w:eastAsia="Calibri" w:cs="Calibri" w:ascii="Calibri" w:hAnsi="Calibri"/>
                <w:color w:val="000000"/>
                <w:sz w:val="21"/>
                <w:szCs w:val="21"/>
              </w:rPr>
              <w:t xml:space="preserve">Le tuteur pénalise l’évaluation du stagiaire ayant signalé une irrégularité en matière de sécurité : annulation de l’évaluation, remplacement du tuteur et information de l’organisme promoteur.</w:t>
            </w:r>
          </w:p>
          <w:p>
            <w:pPr>
              <w:pStyle w:val="Normal"/>
              <w:spacing w:lineRule="auto" w:line="252" w:before="40" w:after="0"/>
              <w:rPr/>
            </w:pPr>
            <w:r>
              <w:rPr>
                <w:rFonts w:eastAsia="Calibri" w:cs="Calibri" w:ascii="Calibri" w:hAnsi="Calibri"/>
                <w:color w:val="000000"/>
                <w:sz w:val="21"/>
                <w:szCs w:val="21"/>
              </w:rPr>
              <w:t xml:space="preserve">L’agence interrompt la mission du travailleur intérimaire après le signalement : demande de rétablissement de la mission et réexamen de la relation avec l’agence, pouvant aller jusqu’à sa cessation.</w:t>
            </w:r>
          </w:p>
        </w:tc>
      </w:tr>
      <w:tr>
        <w:trPr>
          <w:cantSplit w:val="false"/>
        </w:trPr>
        <w:tc>
          <w:tcPr>
            <w:tcW w:w="2400" w:type="dxa"/>
            <w:tcMar>
              <w:top w:w="60" w:type="dxa"/>
              <w:left w:w="80" w:type="dxa"/>
              <w:bottom w:w="60" w:type="dxa"/>
              <w:right w:w="80" w:type="dxa"/>
            </w:tcMar>
          </w:tcPr>
          <w:p>
            <w:pPr>
              <w:pStyle w:val="Normal"/>
              <w:spacing w:lineRule="auto" w:line="252" w:before="40" w:after="0"/>
              <w:rPr/>
            </w:pPr>
            <w:r>
              <w:rPr>
                <w:rFonts w:eastAsia="Calibri" w:cs="Calibri" w:ascii="Calibri" w:hAnsi="Calibri"/>
                <w:color w:val="000000"/>
                <w:sz w:val="21"/>
                <w:szCs w:val="21"/>
              </w:rPr>
              <w:t xml:space="preserve">Associés, administrateurs et membres des organes sociaux</w:t>
            </w:r>
          </w:p>
        </w:tc>
        <w:tc>
          <w:tcPr>
            <w:tcW w:w="4200" w:type="dxa"/>
            <w:tcMar>
              <w:top w:w="60" w:type="dxa"/>
              <w:left w:w="80" w:type="dxa"/>
              <w:bottom w:w="60" w:type="dxa"/>
              <w:right w:w="80" w:type="dxa"/>
            </w:tcMar>
          </w:tcPr>
          <w:p>
            <w:pPr>
              <w:pStyle w:val="Normal"/>
              <w:spacing w:lineRule="auto" w:line="252" w:before="40" w:after="0"/>
              <w:rPr/>
            </w:pPr>
            <w:r>
              <w:rPr>
                <w:rFonts w:eastAsia="Calibri" w:cs="Calibri" w:ascii="Calibri" w:hAnsi="Calibri"/>
                <w:color w:val="000000"/>
                <w:sz w:val="21"/>
                <w:szCs w:val="21"/>
              </w:rPr>
              <w:t xml:space="preserve">Obligation d’abstention ; retrait des délégations opérationnelles ; information de l’assemblée et de l’organe de contrôle ; action en responsabilité ; signalement aux autorités compétentes.</w:t>
            </w:r>
          </w:p>
        </w:tc>
        <w:tc>
          <w:tcPr>
            <w:tcW w:w="3786" w:type="dxa"/>
            <w:tcMar>
              <w:top w:w="60" w:type="dxa"/>
              <w:left w:w="80" w:type="dxa"/>
              <w:bottom w:w="60" w:type="dxa"/>
              <w:right w:w="80" w:type="dxa"/>
            </w:tcMar>
          </w:tcPr>
          <w:p>
            <w:pPr>
              <w:pStyle w:val="Normal"/>
              <w:spacing w:lineRule="auto" w:line="252" w:before="40" w:after="0"/>
              <w:rPr/>
            </w:pPr>
            <w:r>
              <w:rPr>
                <w:rFonts w:eastAsia="Calibri" w:cs="Calibri" w:ascii="Calibri" w:hAnsi="Calibri"/>
                <w:color w:val="000000"/>
                <w:sz w:val="21"/>
                <w:szCs w:val="21"/>
              </w:rPr>
              <w:t xml:space="preserve">Un administrateur fait obstacle à l’accès du Gestionnaire aux documents nécessaires à l’instruction : information de l’organe d’administration, retrait des délégations et transfert de l’instruction à un professionnel externe.</w:t>
            </w:r>
          </w:p>
        </w:tc>
      </w:tr>
      <w:tr>
        <w:trPr>
          <w:cantSplit w:val="false"/>
        </w:trPr>
        <w:tc>
          <w:tcPr>
            <w:tcW w:w="2400" w:type="dxa"/>
            <w:tcMar>
              <w:top w:w="60" w:type="dxa"/>
              <w:left w:w="80" w:type="dxa"/>
              <w:bottom w:w="60" w:type="dxa"/>
              <w:right w:w="80" w:type="dxa"/>
            </w:tcMar>
          </w:tcPr>
          <w:p>
            <w:pPr>
              <w:pStyle w:val="Normal"/>
              <w:spacing w:lineRule="auto" w:line="252" w:before="40" w:after="0"/>
              <w:rPr/>
            </w:pPr>
            <w:r>
              <w:rPr>
                <w:rFonts w:eastAsia="Calibri" w:cs="Calibri" w:ascii="Calibri" w:hAnsi="Calibri"/>
                <w:color w:val="000000"/>
                <w:sz w:val="21"/>
                <w:szCs w:val="21"/>
              </w:rPr>
              <w:t xml:space="preserve">Fournisseurs, consultants, sous-traitants et partenaires</w:t>
            </w:r>
          </w:p>
        </w:tc>
        <w:tc>
          <w:tcPr>
            <w:tcW w:w="4200" w:type="dxa"/>
            <w:tcMar>
              <w:top w:w="60" w:type="dxa"/>
              <w:left w:w="80" w:type="dxa"/>
              <w:bottom w:w="60" w:type="dxa"/>
              <w:right w:w="80" w:type="dxa"/>
            </w:tcMar>
          </w:tcPr>
          <w:p>
            <w:pPr>
              <w:pStyle w:val="Normal"/>
              <w:spacing w:lineRule="auto" w:line="252" w:before="40" w:after="0"/>
              <w:rPr/>
            </w:pPr>
            <w:r>
              <w:rPr>
                <w:rFonts w:eastAsia="Calibri" w:cs="Calibri" w:ascii="Calibri" w:hAnsi="Calibri"/>
                <w:color w:val="000000"/>
                <w:sz w:val="21"/>
                <w:szCs w:val="21"/>
              </w:rPr>
              <w:t xml:space="preserve">Demande formelle de réparation dans un délai déterminé ; plan de mise en conformité avec vérification documentée ; formation ou adoption de procédures équivalentes ; suspension des commandes ; exclusion de la liste des fournisseurs ; résiliation du contrat pour violation des clauses éthiques ; demande de dommages-intérêts ; signalement aux autorités.</w:t>
            </w:r>
          </w:p>
        </w:tc>
        <w:tc>
          <w:tcPr>
            <w:tcW w:w="3786" w:type="dxa"/>
            <w:tcMar>
              <w:top w:w="60" w:type="dxa"/>
              <w:left w:w="80" w:type="dxa"/>
              <w:bottom w:w="60" w:type="dxa"/>
              <w:right w:w="80" w:type="dxa"/>
            </w:tcMar>
          </w:tcPr>
          <w:p>
            <w:pPr>
              <w:pStyle w:val="Normal"/>
              <w:spacing w:lineRule="auto" w:line="252" w:before="40" w:after="60"/>
              <w:rPr/>
            </w:pPr>
            <w:r>
              <w:rPr>
                <w:rFonts w:eastAsia="Calibri" w:cs="Calibri" w:ascii="Calibri" w:hAnsi="Calibri"/>
                <w:color w:val="000000"/>
                <w:sz w:val="21"/>
                <w:szCs w:val="21"/>
              </w:rPr>
              <w:t xml:space="preserve">Un fournisseur sanctionne ou licencie l’un de ses salariés pour avoir signalé à Artegraf S.r.l. des conditions de travail irrégulières : demande de rétablissement sous 30 jours et suspension des commandes ; à défaut de réparation, résiliation du contrat et exclusion de la liste des fournisseurs.</w:t>
            </w:r>
          </w:p>
          <w:p>
            <w:pPr>
              <w:pStyle w:val="Normal"/>
              <w:spacing w:lineRule="auto" w:line="252" w:before="40" w:after="0"/>
              <w:rPr/>
            </w:pPr>
            <w:r>
              <w:rPr>
                <w:rFonts w:eastAsia="Calibri" w:cs="Calibri" w:ascii="Calibri" w:hAnsi="Calibri"/>
                <w:color w:val="000000"/>
                <w:sz w:val="21"/>
                <w:szCs w:val="21"/>
              </w:rPr>
              <w:t xml:space="preserve">Un consultant menace d’actions en justice de représailles la personne qui l’a signalé : résiliation immédiate de la relation et examen d’un signalement aux autorités compétentes.</w:t>
            </w:r>
          </w:p>
        </w:tc>
      </w:tr>
      <w:tr>
        <w:trPr>
          <w:cantSplit w:val="false"/>
        </w:trPr>
        <w:tc>
          <w:tcPr>
            <w:tcW w:w="2400" w:type="dxa"/>
            <w:tcMar>
              <w:top w:w="60" w:type="dxa"/>
              <w:left w:w="80" w:type="dxa"/>
              <w:bottom w:w="60" w:type="dxa"/>
              <w:right w:w="80" w:type="dxa"/>
            </w:tcMar>
          </w:tcPr>
          <w:p>
            <w:pPr>
              <w:pStyle w:val="Normal"/>
              <w:spacing w:lineRule="auto" w:line="252" w:before="40" w:after="0"/>
              <w:rPr/>
            </w:pPr>
            <w:r>
              <w:rPr>
                <w:rFonts w:eastAsia="Calibri" w:cs="Calibri" w:ascii="Calibri" w:hAnsi="Calibri"/>
                <w:color w:val="000000"/>
                <w:sz w:val="21"/>
                <w:szCs w:val="21"/>
              </w:rPr>
              <w:t xml:space="preserve">Clients et autres parties prenantes externes</w:t>
            </w:r>
          </w:p>
        </w:tc>
        <w:tc>
          <w:tcPr>
            <w:tcW w:w="4200" w:type="dxa"/>
            <w:tcMar>
              <w:top w:w="60" w:type="dxa"/>
              <w:left w:w="80" w:type="dxa"/>
              <w:bottom w:w="60" w:type="dxa"/>
              <w:right w:w="80" w:type="dxa"/>
            </w:tcMar>
          </w:tcPr>
          <w:p>
            <w:pPr>
              <w:pStyle w:val="Normal"/>
              <w:spacing w:lineRule="auto" w:line="252" w:before="40" w:after="0"/>
              <w:rPr/>
            </w:pPr>
            <w:r>
              <w:rPr>
                <w:rFonts w:eastAsia="Calibri" w:cs="Calibri" w:ascii="Calibri" w:hAnsi="Calibri"/>
                <w:color w:val="000000"/>
                <w:sz w:val="21"/>
                <w:szCs w:val="21"/>
              </w:rPr>
              <w:t xml:space="preserve">Communication formelle de rappel à l’ordre ; demande de réparation ; révision des conditions commerciales ; suspension ou cessation de la relation ; signalement aux autorités dans les cas prévus.</w:t>
            </w:r>
          </w:p>
        </w:tc>
        <w:tc>
          <w:tcPr>
            <w:tcW w:w="3786" w:type="dxa"/>
            <w:tcMar>
              <w:top w:w="60" w:type="dxa"/>
              <w:left w:w="80" w:type="dxa"/>
              <w:bottom w:w="60" w:type="dxa"/>
              <w:right w:w="80" w:type="dxa"/>
            </w:tcMar>
          </w:tcPr>
          <w:p>
            <w:pPr>
              <w:pStyle w:val="Normal"/>
              <w:spacing w:lineRule="auto" w:line="252" w:before="40" w:after="0"/>
              <w:rPr/>
            </w:pPr>
            <w:r>
              <w:rPr>
                <w:rFonts w:eastAsia="Calibri" w:cs="Calibri" w:ascii="Calibri" w:hAnsi="Calibri"/>
                <w:color w:val="000000"/>
                <w:sz w:val="21"/>
                <w:szCs w:val="21"/>
              </w:rPr>
              <w:t xml:space="preserve">Un client demande l’écartement de la commande de la personne ayant signalé une pratique incorrecte : refus de la demande, communication formelle des motifs et réexamen de la relation commerciale.</w:t>
            </w:r>
          </w:p>
        </w:tc>
      </w:tr>
    </w:tbl>
    <w:p>
      <w:pPr>
        <w:pStyle w:val="Normal"/>
        <w:spacing w:lineRule="auto" w:line="276" w:before="0" w:after="120"/>
        <w:jc w:val="both"/>
        <w:rPr/>
      </w:pPr>
      <w:r>
        <w:rPr>
          <w:rFonts w:eastAsia="Calibri" w:cs="Calibri" w:ascii="Calibri" w:hAnsi="Calibri"/>
          <w:color w:val="000000"/>
          <w:sz w:val="21"/>
          <w:szCs w:val="21"/>
        </w:rPr>
        <w:t/>
      </w:r>
    </w:p>
    <w:p>
      <w:pPr>
        <w:pStyle w:val="Normal"/>
        <w:spacing w:before="180" w:after="60"/>
        <w:rPr>
          <w:rFonts w:ascii="Calibri" w:hAnsi="Calibri" w:eastAsia="Calibri" w:cs="Calibri"/>
          <w:b/>
          <w:bCs/>
          <w:sz w:val="21"/>
          <w:szCs w:val="21"/>
        </w:rPr>
      </w:pPr>
      <w:r>
        <w:rPr>
          <w:rFonts w:eastAsia="Calibri" w:cs="Calibri" w:ascii="Calibri" w:hAnsi="Calibri"/>
          <w:b/>
          <w:bCs/>
          <w:color w:val="000000"/>
          <w:sz w:val="21"/>
          <w:szCs w:val="21"/>
        </w:rPr>
        <w:t xml:space="preserve">4.3 Suppression des effets et réparation organisationnelle</w:t>
      </w:r>
    </w:p>
    <w:p>
      <w:pPr>
        <w:pStyle w:val="Normal"/>
        <w:spacing w:lineRule="auto" w:line="276" w:before="0" w:after="120"/>
        <w:jc w:val="both"/>
        <w:rPr/>
      </w:pPr>
      <w:r>
        <w:rPr>
          <w:rFonts w:eastAsia="Calibri" w:cs="Calibri" w:ascii="Calibri" w:hAnsi="Calibri"/>
          <w:color w:val="000000"/>
          <w:sz w:val="21"/>
          <w:szCs w:val="21"/>
        </w:rPr>
        <w:t xml:space="preserve">Outre les conséquences à l’égard des responsables, l’entreprise intervient sur les effets produits et sur les conditions qui les ont rendus possibles :</w:t>
      </w:r>
    </w:p>
    <w:p>
      <w:pPr>
        <w:pStyle w:val="Normal"/>
        <w:numPr>
          <w:ilvl w:val="0"/>
          <w:numId w:val="2"/>
        </w:numPr>
        <w:spacing w:lineRule="auto" w:line="276" w:before="0" w:after="70"/>
        <w:jc w:val="both"/>
        <w:rPr/>
      </w:pPr>
      <w:r>
        <w:rPr>
          <w:rFonts w:eastAsia="Calibri" w:cs="Calibri" w:ascii="Calibri" w:hAnsi="Calibri"/>
          <w:color w:val="000000"/>
          <w:sz w:val="21"/>
          <w:szCs w:val="21"/>
        </w:rPr>
        <w:t xml:space="preserve">rétablissement de la situation antérieure : réintégration dans les fonctions, les horaires et le lieu de travail, restitution des sommes non versées, annulation des évaluations ou des mesures de représailles, réadmission aux parcours de formation, de sélection ou d’avancement, réactivation du contrat ou des commandes suspendues ;</w:t>
      </w:r>
    </w:p>
    <w:p>
      <w:pPr>
        <w:pStyle w:val="Normal"/>
        <w:numPr>
          <w:ilvl w:val="0"/>
          <w:numId w:val="2"/>
        </w:numPr>
        <w:spacing w:lineRule="auto" w:line="276" w:before="0" w:after="70"/>
        <w:jc w:val="both"/>
        <w:rPr/>
      </w:pPr>
      <w:r>
        <w:rPr>
          <w:rFonts w:eastAsia="Calibri" w:cs="Calibri" w:ascii="Calibri" w:hAnsi="Calibri"/>
          <w:color w:val="000000"/>
          <w:sz w:val="21"/>
          <w:szCs w:val="21"/>
        </w:rPr>
        <w:t xml:space="preserve">révision des pratiques internes ayant permis le comportement : procédures, délégations, critères d’évaluation des performances, modalités de gestion des conflits d’intérêts et des canaux de signalement ;</w:t>
      </w:r>
    </w:p>
    <w:p>
      <w:pPr>
        <w:pStyle w:val="Normal"/>
        <w:numPr>
          <w:ilvl w:val="0"/>
          <w:numId w:val="2"/>
        </w:numPr>
        <w:spacing w:lineRule="auto" w:line="276" w:before="0" w:after="70"/>
        <w:jc w:val="both"/>
        <w:rPr/>
      </w:pPr>
      <w:r>
        <w:rPr>
          <w:rFonts w:eastAsia="Calibri" w:cs="Calibri" w:ascii="Calibri" w:hAnsi="Calibri"/>
          <w:color w:val="000000"/>
          <w:sz w:val="21"/>
          <w:szCs w:val="21"/>
        </w:rPr>
        <w:t xml:space="preserve">formation complémentaire étendue à la fonction ou à l’équipe concernée et communication interne rappelant les protections prévues ;</w:t>
      </w:r>
    </w:p>
    <w:p>
      <w:pPr>
        <w:pStyle w:val="Normal"/>
        <w:numPr>
          <w:ilvl w:val="0"/>
          <w:numId w:val="2"/>
        </w:numPr>
        <w:spacing w:lineRule="auto" w:line="276" w:before="0" w:after="70"/>
        <w:jc w:val="both"/>
        <w:rPr/>
      </w:pPr>
      <w:r>
        <w:rPr>
          <w:rFonts w:eastAsia="Calibri" w:cs="Calibri" w:ascii="Calibri" w:hAnsi="Calibri"/>
          <w:color w:val="000000"/>
          <w:sz w:val="21"/>
          <w:szCs w:val="21"/>
        </w:rPr>
        <w:t xml:space="preserve">intégration des problématiques constatées parmi les éléments de réexamen de la présente politique et de la Procédure de gestion des signalements.</w:t>
      </w:r>
    </w:p>
    <w:p>
      <w:pPr>
        <w:pStyle w:val="Normal"/>
        <w:spacing w:before="180" w:after="60"/>
        <w:rPr>
          <w:rFonts w:ascii="Calibri" w:hAnsi="Calibri" w:eastAsia="Calibri" w:cs="Calibri"/>
          <w:b/>
          <w:bCs/>
          <w:sz w:val="21"/>
          <w:szCs w:val="21"/>
        </w:rPr>
      </w:pPr>
      <w:r>
        <w:rPr>
          <w:rFonts w:eastAsia="Calibri" w:cs="Calibri" w:ascii="Calibri" w:hAnsi="Calibri"/>
          <w:b/>
          <w:bCs/>
          <w:color w:val="000000"/>
          <w:sz w:val="21"/>
          <w:szCs w:val="21"/>
        </w:rPr>
        <w:t xml:space="preserve">4.4 Signalement aux autorités compétentes</w:t>
      </w:r>
    </w:p>
    <w:p>
      <w:pPr>
        <w:pStyle w:val="Normal"/>
        <w:spacing w:lineRule="auto" w:line="276" w:before="0" w:after="120"/>
        <w:jc w:val="both"/>
        <w:rPr/>
      </w:pPr>
      <w:r>
        <w:rPr>
          <w:rFonts w:eastAsia="Calibri" w:cs="Calibri" w:ascii="Calibri" w:hAnsi="Calibri"/>
          <w:color w:val="000000"/>
          <w:sz w:val="21"/>
          <w:szCs w:val="21"/>
        </w:rPr>
        <w:t xml:space="preserve">L’organe d’administration est informé de chaque cas établi. Lorsque les faits l’exigent, l’entreprise effectue ou soutient un signalement aux autorités : autorité judiciaire pour les faits de nature pénale ; Inspection territoriale du travail ou autorité sanitaire locale pour les violations en matière de travail et de sécurité ; ANAC pour les représailles, qui peut infliger les sanctions administratives prévues par le décret législatif 24/2023 ; Autorité de protection des données personnelles pour les violations en matière de données ; autres autorités sectorielles dans leurs domaines de compétence.</w:t>
      </w:r>
    </w:p>
    <w:p>
      <w:pPr>
        <w:pStyle w:val="Normal"/>
        <w:spacing w:before="180" w:after="60"/>
        <w:rPr>
          <w:rFonts w:ascii="Calibri" w:hAnsi="Calibri" w:eastAsia="Calibri" w:cs="Calibri"/>
          <w:b/>
          <w:bCs/>
          <w:sz w:val="21"/>
          <w:szCs w:val="21"/>
        </w:rPr>
      </w:pPr>
      <w:r>
        <w:rPr>
          <w:rFonts w:eastAsia="Calibri" w:cs="Calibri" w:ascii="Calibri" w:hAnsi="Calibri"/>
          <w:b/>
          <w:bCs/>
          <w:color w:val="000000"/>
          <w:sz w:val="21"/>
          <w:szCs w:val="21"/>
        </w:rPr>
        <w:t xml:space="preserve">4.5 Comportements assimilés</w:t>
      </w:r>
    </w:p>
    <w:p>
      <w:pPr>
        <w:pStyle w:val="Normal"/>
        <w:spacing w:lineRule="auto" w:line="276" w:before="0" w:after="120"/>
        <w:jc w:val="both"/>
        <w:rPr/>
      </w:pPr>
      <w:r>
        <w:rPr>
          <w:rFonts w:eastAsia="Calibri" w:cs="Calibri" w:ascii="Calibri" w:hAnsi="Calibri"/>
          <w:color w:val="000000"/>
          <w:sz w:val="21"/>
          <w:szCs w:val="21"/>
        </w:rPr>
        <w:t xml:space="preserve">Les mêmes conséquences, graduées selon le type de partie prenante indiqué au point 4.2, s’appliquent à quiconque viole les obligations de confidentialité prévues par la présente politique, fait ou tente de faire obstacle à un signalement, ou effectue sciemment un signalement infondé avec intention ou faute grave.</w:t>
      </w:r>
    </w:p>
    <w:p>
      <w:pPr>
        <w:pStyle w:val="Normal"/>
        <w:spacing w:before="180" w:after="60"/>
        <w:rPr>
          <w:rFonts w:ascii="Calibri" w:hAnsi="Calibri" w:eastAsia="Calibri" w:cs="Calibri"/>
          <w:b/>
          <w:bCs/>
          <w:sz w:val="21"/>
          <w:szCs w:val="21"/>
        </w:rPr>
      </w:pPr>
      <w:r>
        <w:rPr>
          <w:rFonts w:eastAsia="Calibri" w:cs="Calibri" w:ascii="Calibri" w:hAnsi="Calibri"/>
          <w:b/>
          <w:bCs/>
          <w:color w:val="000000"/>
          <w:sz w:val="21"/>
          <w:szCs w:val="21"/>
        </w:rPr>
        <w:t xml:space="preserve">4.6 Information préalable des parties prenantes</w:t>
      </w:r>
    </w:p>
    <w:p>
      <w:pPr>
        <w:pStyle w:val="Normal"/>
        <w:spacing w:lineRule="auto" w:line="276" w:before="0" w:after="120"/>
        <w:jc w:val="both"/>
        <w:rPr/>
      </w:pPr>
      <w:r>
        <w:rPr>
          <w:rFonts w:eastAsia="Calibri" w:cs="Calibri" w:ascii="Calibri" w:hAnsi="Calibri"/>
          <w:color w:val="000000"/>
          <w:sz w:val="21"/>
          <w:szCs w:val="21"/>
        </w:rPr>
        <w:t xml:space="preserve">Toutes les parties prenantes sont informées à l’avance des conséquences possibles auxquelles elles s’exposent si elles sont impliquées dans un litige et que l’instruction établit la nécessité de mesures correctives. À cette fin, la politique est publiée sur le site de l’entreprise, remise aux personnes de l’organisation lors de leur intégration et rappelée dans le code éthique ; elle est annexée aux contrats conclus avec les fournisseurs, consultants, sous-traitants et partenaires ou rappelée par une clause spécifique, et communiquée aux clients dans les conditions générales de fourniture. À l’ouverture de toute procédure, la personne concernée est informée des griefs, des mesures applicables et de ses droits de la défense.</w:t>
      </w:r>
    </w:p>
    <w:p>
      <w:pPr>
        <w:pStyle w:val="Normal"/>
        <w:spacing w:before="240" w:after="90"/>
        <w:rPr>
          <w:rFonts w:ascii="Calibri" w:hAnsi="Calibri" w:eastAsia="Calibri" w:cs="Calibri"/>
          <w:b/>
          <w:bCs/>
          <w:sz w:val="23"/>
          <w:szCs w:val="23"/>
        </w:rPr>
      </w:pPr>
      <w:r>
        <w:rPr>
          <w:rFonts w:eastAsia="Calibri" w:cs="Calibri" w:ascii="Calibri" w:hAnsi="Calibri"/>
          <w:b/>
          <w:bCs/>
          <w:sz w:val="23"/>
          <w:szCs w:val="23"/>
        </w:rPr>
        <w:t xml:space="preserve">5. Protections garanties</w:t>
      </w:r>
    </w:p>
    <w:p>
      <w:pPr>
        <w:pStyle w:val="Normal"/>
        <w:numPr>
          <w:ilvl w:val="0"/>
          <w:numId w:val="2"/>
        </w:numPr>
        <w:spacing w:lineRule="auto" w:line="276" w:before="0" w:after="70"/>
        <w:jc w:val="both"/>
        <w:rPr/>
      </w:pPr>
      <w:r>
        <w:rPr>
          <w:rFonts w:eastAsia="Calibri" w:cs="Calibri" w:ascii="Calibri" w:hAnsi="Calibri"/>
          <w:color w:val="000000"/>
          <w:sz w:val="21"/>
          <w:szCs w:val="21"/>
        </w:rPr>
        <w:t xml:space="preserve">Confidentialité de l’identité : l’identité de l’auteur du signalement et toute information susceptible de la révéler ne sont pas communiquées à des tiers sans son consentement exprès, sauf obligations légales. Les mesures opérationnelles de protection, d’archivage et de traçabilité des accès sont définies dans la Procédure de gestion des signalements (point 8).</w:t>
      </w:r>
    </w:p>
    <w:p>
      <w:pPr>
        <w:pStyle w:val="Normal"/>
        <w:numPr>
          <w:ilvl w:val="0"/>
          <w:numId w:val="2"/>
        </w:numPr>
        <w:spacing w:lineRule="auto" w:line="276" w:before="0" w:after="70"/>
        <w:jc w:val="both"/>
        <w:rPr/>
      </w:pPr>
      <w:r>
        <w:rPr>
          <w:rFonts w:eastAsia="Calibri" w:cs="Calibri" w:ascii="Calibri" w:hAnsi="Calibri"/>
          <w:color w:val="000000"/>
          <w:sz w:val="21"/>
          <w:szCs w:val="21"/>
        </w:rPr>
        <w:t xml:space="preserve">Évaluation du risque de représailles : pour les personnes en situation de plus grande vulnérabilité, une évaluation préalable des risques de représailles est effectuée et des mesures spécifiques sont adoptées, le cas échéant avec l’appui de tiers indépendants.</w:t>
      </w:r>
    </w:p>
    <w:p>
      <w:pPr>
        <w:pStyle w:val="Normal"/>
        <w:numPr>
          <w:ilvl w:val="0"/>
          <w:numId w:val="2"/>
        </w:numPr>
        <w:spacing w:lineRule="auto" w:line="276" w:before="0" w:after="70"/>
        <w:jc w:val="both"/>
        <w:rPr/>
      </w:pPr>
      <w:r>
        <w:rPr>
          <w:rFonts w:eastAsia="Calibri" w:cs="Calibri" w:ascii="Calibri" w:hAnsi="Calibri"/>
          <w:color w:val="000000"/>
          <w:sz w:val="21"/>
          <w:szCs w:val="21"/>
        </w:rPr>
        <w:t xml:space="preserve">Charge de la preuve : en cas d’acte préjudiciable subi par l’auteur du signalement après celui-ci, il incombe à l’entreprise de démontrer que cet acte est motivé par des raisons étrangères au signalement.</w:t>
      </w:r>
    </w:p>
    <w:p>
      <w:pPr>
        <w:pStyle w:val="Normal"/>
        <w:numPr>
          <w:ilvl w:val="0"/>
          <w:numId w:val="2"/>
        </w:numPr>
        <w:spacing w:lineRule="auto" w:line="276" w:before="0" w:after="70"/>
        <w:jc w:val="both"/>
        <w:rPr/>
      </w:pPr>
      <w:r>
        <w:rPr>
          <w:rFonts w:eastAsia="Calibri" w:cs="Calibri" w:ascii="Calibri" w:hAnsi="Calibri"/>
          <w:color w:val="000000"/>
          <w:sz w:val="21"/>
          <w:szCs w:val="21"/>
        </w:rPr>
        <w:t xml:space="preserve">Priorité aux signalements de représailles : les représailles présumées, même seulement tentées, peuvent être signalées par les mêmes canaux prévus par la Procédure et sont traitées en priorité, avec adoption immédiate des mesures de protection nécessaires.</w:t>
      </w:r>
    </w:p>
    <w:p>
      <w:pPr>
        <w:pStyle w:val="Normal"/>
        <w:numPr>
          <w:ilvl w:val="0"/>
          <w:numId w:val="2"/>
        </w:numPr>
        <w:spacing w:lineRule="auto" w:line="276" w:before="0" w:after="70"/>
        <w:jc w:val="both"/>
        <w:rPr/>
      </w:pPr>
      <w:r>
        <w:rPr>
          <w:rFonts w:eastAsia="Calibri" w:cs="Calibri" w:ascii="Calibri" w:hAnsi="Calibri"/>
          <w:color w:val="000000"/>
          <w:sz w:val="21"/>
          <w:szCs w:val="21"/>
        </w:rPr>
        <w:t xml:space="preserve">Continuité des protections : les protections prévues par la présente politique s’appliquent également lorsque le signalement se révèle infondé, dès lors qu’il a été effectué de bonne foi, ainsi qu’à toute personne qui utilise le canal externe ou procède à une divulgation publique dans les cas autorisés par la réglementation.</w:t>
      </w:r>
    </w:p>
    <w:p>
      <w:pPr>
        <w:pStyle w:val="Normal"/>
        <w:spacing w:before="240" w:after="90"/>
        <w:rPr>
          <w:rFonts w:ascii="Calibri" w:hAnsi="Calibri" w:eastAsia="Calibri" w:cs="Calibri"/>
          <w:b/>
          <w:bCs/>
          <w:sz w:val="23"/>
          <w:szCs w:val="23"/>
        </w:rPr>
      </w:pPr>
      <w:r>
        <w:rPr>
          <w:rFonts w:eastAsia="Calibri" w:cs="Calibri" w:ascii="Calibri" w:hAnsi="Calibri"/>
          <w:b/>
          <w:bCs/>
          <w:sz w:val="23"/>
          <w:szCs w:val="23"/>
        </w:rPr>
        <w:t xml:space="preserve">6. Canal externe et divulgation publique</w:t>
      </w:r>
    </w:p>
    <w:p>
      <w:pPr>
        <w:pStyle w:val="Normal"/>
        <w:spacing w:lineRule="auto" w:line="276" w:before="0" w:after="120"/>
        <w:jc w:val="both"/>
        <w:rPr/>
      </w:pPr>
      <w:r>
        <w:rPr>
          <w:rFonts w:eastAsia="Calibri" w:cs="Calibri" w:ascii="Calibri" w:hAnsi="Calibri"/>
          <w:color w:val="000000"/>
          <w:sz w:val="21"/>
          <w:szCs w:val="21"/>
        </w:rPr>
        <w:t xml:space="preserve">La présente politique ne limite en aucune manière le droit de l’auteur du signalement de s’adresser au canal externe institué et géré par l’Autorité nationale anticorruption italienne (ANAC) au sens du décret législatif 24/2023, ni de recourir aux autres protections prévues par la réglementation en vigueur. Les conditions d’accès au canal externe et les cas dans lesquels la divulgation publique est admise sont indiqués dans la Procédure de gestion des signalements (point 10).</w:t>
      </w:r>
    </w:p>
    <w:p>
      <w:pPr>
        <w:pStyle w:val="Normal"/>
        <w:spacing w:before="240" w:after="90"/>
        <w:rPr>
          <w:rFonts w:ascii="Calibri" w:hAnsi="Calibri" w:eastAsia="Calibri" w:cs="Calibri"/>
          <w:b/>
          <w:bCs/>
          <w:sz w:val="23"/>
          <w:szCs w:val="23"/>
        </w:rPr>
      </w:pPr>
      <w:r>
        <w:rPr>
          <w:rFonts w:eastAsia="Calibri" w:cs="Calibri" w:ascii="Calibri" w:hAnsi="Calibri"/>
          <w:b/>
          <w:bCs/>
          <w:sz w:val="23"/>
          <w:szCs w:val="23"/>
        </w:rPr>
        <w:t xml:space="preserve">7. Approbation, diffusion et réexamen</w:t>
      </w:r>
    </w:p>
    <w:p>
      <w:pPr>
        <w:pStyle w:val="Normal"/>
        <w:spacing w:lineRule="auto" w:line="276" w:before="0" w:after="120"/>
        <w:jc w:val="both"/>
        <w:rPr>
          <w:rFonts w:ascii="Calibri" w:hAnsi="Calibri" w:eastAsia="Calibri" w:cs="Calibri"/>
          <w:sz w:val="21"/>
          <w:szCs w:val="21"/>
        </w:rPr>
      </w:pPr>
      <w:r>
        <w:rPr>
          <w:rFonts w:eastAsia="Calibri" w:cs="Calibri" w:ascii="Calibri" w:hAnsi="Calibri"/>
          <w:sz w:val="21"/>
          <w:szCs w:val="21"/>
        </w:rPr>
        <w:t xml:space="preserve">Approuvée par l’organe d’administration le 10 septembre 2026. La politique est publiée sur le site de l’entreprise, remise aux personnes de l’organisation et réexaminée au moins tous les deux ans. Responsable : Lorenzo Bambini.</w:t>
      </w:r>
    </w:p>
    <w:p>
      <w:pPr>
        <w:pStyle w:val="Normal"/>
        <w:rPr>
          <w:i/>
          <w:i/>
          <w:iCs/>
          <w:color w:val="000000"/>
          <w:sz w:val="21"/>
          <w:szCs w:val="21"/>
        </w:rPr>
      </w:pPr>
      <w:r>
        <w:rPr/>
        <w:tab/>
        <w:tab/>
        <w:tab/>
        <w:tab/>
        <w:tab/>
        <w:tab/>
        <w:tab/>
        <w:tab/>
        <w:tab/>
        <w:t xml:space="preserve">    </w:t>
        <w:tab/>
      </w:r>
    </w:p>
    <w:sectPr>
      <w:headerReference w:type="default" r:id="rId2"/>
      <w:footerReference w:type="default" r:id="rId3"/>
      <w:type w:val="nextPage"/>
      <w:pgSz w:w="11906" w:h="16838"/>
      <w:pgMar w:left="1134" w:right="386" w:gutter="0" w:header="708" w:top="1417" w:footer="78"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0" w:characterSet="windows-1252"/>
    <w:family w:val="swiss"/>
    <w:pitch w:val="variable"/>
  </w:font>
  <w:font w:name="Helvetica">
    <w:altName w:val="Arial"/>
    <w:charset w:val="00" w:characterSet="windows-1252"/>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bottom w:val="single" w:sz="6" w:space="1" w:color="000000"/>
      </w:pBdr>
      <w:rPr/>
    </w:pPr>
    <w:r>
      <w:rPr/>
    </w:r>
  </w:p>
  <w:p>
    <w:pPr>
      <w:pStyle w:val="Footer"/>
      <w:rPr>
        <w:rFonts w:ascii="Helvetica" w:hAnsi="Helvetica" w:cs="Helvetica"/>
        <w:b/>
      </w:rPr>
    </w:pPr>
    <w:r>
      <w:rPr>
        <w:rFonts w:cs="Helvetica" w:ascii="Helvetica" w:hAnsi="Helvetica"/>
        <w:b/>
      </w:rPr>
      <w:t>Artegraf s.r.l.</w:t>
    </w:r>
  </w:p>
  <w:p>
    <w:pPr>
      <w:pStyle w:val="Footer"/>
      <w:rPr>
        <w:rFonts w:ascii="Helvetica" w:hAnsi="Helvetica" w:cs="Helvetica"/>
      </w:rPr>
    </w:pPr>
    <w:r>
      <w:rPr>
        <w:rFonts w:cs="Helvetica" w:ascii="Helvetica" w:hAnsi="Helvetica"/>
      </w:rPr>
      <w:t>06011 – Città di Castello – Perugia – Italy – Via Vittorini, 20/b loc. Cerbara</w:t>
    </w:r>
  </w:p>
  <w:p>
    <w:pPr>
      <w:pStyle w:val="Footer"/>
      <w:rPr>
        <w:rFonts w:ascii="Helvetica" w:hAnsi="Helvetica" w:cs="Helvetica"/>
      </w:rPr>
    </w:pPr>
    <w:r>
      <w:rPr>
        <w:rFonts w:cs="Helvetica" w:ascii="Helvetica" w:hAnsi="Helvetica"/>
      </w:rPr>
      <w:t xml:space="preserve">Tel. 075.851.11.41 Fax 075.851.90.35 - e.Mail: </w:t>
    </w:r>
    <w:hyperlink r:id="rId1">
      <w:r>
        <w:rPr>
          <w:rStyle w:val="Hyperlink"/>
          <w:rFonts w:cs="Helvetica" w:ascii="Helvetica" w:hAnsi="Helvetica"/>
          <w:color w:val="000000"/>
        </w:rPr>
        <w:t>info@artegrafstampa.it</w:t>
      </w:r>
    </w:hyperlink>
    <w:r>
      <w:rPr>
        <w:rFonts w:cs="Helvetica" w:ascii="Helvetica" w:hAnsi="Helvetica"/>
        <w:color w:val="000000"/>
      </w:rPr>
      <w:t xml:space="preserve"> - </w:t>
    </w:r>
    <w:hyperlink r:id="rId2">
      <w:r>
        <w:rPr>
          <w:rStyle w:val="Hyperlink"/>
          <w:rFonts w:cs="Helvetica" w:ascii="Helvetica" w:hAnsi="Helvetica"/>
          <w:color w:val="000000"/>
        </w:rPr>
        <w:t>www.artegrafstampa.it</w:t>
      </w:r>
    </w:hyperlink>
  </w:p>
  <w:p>
    <w:pPr>
      <w:pStyle w:val="Footer"/>
      <w:rPr/>
    </w:pPr>
    <w:r>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lang w:val="en-US" w:eastAsia="en-US"/>
      </w:rPr>
    </w:pPr>
    <w:r>
      <w:rPr>
        <w:lang w:val="en-US" w:eastAsia="en-US"/>
      </w:rPr>
      <w:drawing>
        <wp:inline distT="0" distB="0" distL="0" distR="0">
          <wp:extent cx="6281420" cy="1600835"/>
          <wp:effectExtent l="0" t="0" r="0" b="0"/>
          <wp:docPr id="1" name="Immagin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 title=""/>
                  <pic:cNvPicPr>
                    <a:picLocks noChangeAspect="1" noChangeArrowheads="1"/>
                  </pic:cNvPicPr>
                </pic:nvPicPr>
                <pic:blipFill>
                  <a:blip r:embed="rId1"/>
                  <a:srcRect l="-2" t="-5" r="-2" b="-5"/>
                  <a:stretch>
                    <a:fillRect/>
                  </a:stretch>
                </pic:blipFill>
                <pic:spPr bwMode="auto">
                  <a:xfrm>
                    <a:off x="0" y="0"/>
                    <a:ext cx="6281420" cy="1600835"/>
                  </a:xfrm>
                  <a:prstGeom prst="rect">
                    <a:avLst/>
                  </a:prstGeom>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abstractNum w:abstractNumId="2">
    <w:lvl w:ilvl="0">
      <w:start w:val="1"/>
      <w:numFmt w:val="bullet"/>
      <w:lvlText w:val=""/>
      <w:lvlJc w:val="start"/>
      <w:pPr>
        <w:tabs>
          <w:tab w:val="num" w:pos="0"/>
        </w:tabs>
        <w:ind w:start="431" w:hanging="259"/>
      </w:pPr>
      <w:rPr>
        <w:rFonts w:ascii="Symbol" w:hAnsi="Symbol" w:cs="Symbol" w:hint="default"/>
      </w:rPr>
    </w:lvl>
    <w:lvl w:ilvl="1">
      <w:start w:val="1"/>
      <w:numFmt w:val="bullet"/>
      <w:lvlText w:val=""/>
      <w:lvlJc w:val="start"/>
      <w:pPr>
        <w:tabs>
          <w:tab w:val="num" w:pos="0"/>
        </w:tabs>
        <w:ind w:start="863" w:hanging="259"/>
      </w:pPr>
      <w:rPr>
        <w:rFonts w:ascii="Symbol" w:hAnsi="Symbol" w:cs="Symbol" w:hint="default"/>
      </w:rPr>
    </w:lvl>
    <w:lvl w:ilvl="2">
      <w:start w:val="1"/>
      <w:numFmt w:val="bullet"/>
      <w:lvlText w:val=""/>
      <w:lvlJc w:val="start"/>
      <w:pPr>
        <w:tabs>
          <w:tab w:val="num" w:pos="0"/>
        </w:tabs>
        <w:ind w:start="0" w:hanging="0"/>
      </w:pPr>
      <w:rPr>
        <w:rFonts w:ascii="Symbol" w:hAnsi="Symbol" w:cs="Symbol" w:hint="default"/>
      </w:rPr>
    </w:lvl>
    <w:lvl w:ilvl="3">
      <w:start w:val="1"/>
      <w:numFmt w:val="bullet"/>
      <w:lvlText w:val=""/>
      <w:lvlJc w:val="start"/>
      <w:pPr>
        <w:tabs>
          <w:tab w:val="num" w:pos="0"/>
        </w:tabs>
        <w:ind w:start="0" w:hanging="0"/>
      </w:pPr>
      <w:rPr>
        <w:rFonts w:ascii="Symbol" w:hAnsi="Symbol" w:cs="Symbol" w:hint="default"/>
      </w:rPr>
    </w:lvl>
    <w:lvl w:ilvl="4">
      <w:start w:val="1"/>
      <w:numFmt w:val="bullet"/>
      <w:lvlText w:val=""/>
      <w:lvlJc w:val="start"/>
      <w:pPr>
        <w:tabs>
          <w:tab w:val="num" w:pos="0"/>
        </w:tabs>
        <w:ind w:start="0" w:hanging="0"/>
      </w:pPr>
      <w:rPr>
        <w:rFonts w:ascii="Symbol" w:hAnsi="Symbol" w:cs="Symbol" w:hint="default"/>
      </w:rPr>
    </w:lvl>
    <w:lvl w:ilvl="5">
      <w:start w:val="1"/>
      <w:numFmt w:val="bullet"/>
      <w:lvlText w:val=""/>
      <w:lvlJc w:val="start"/>
      <w:pPr>
        <w:tabs>
          <w:tab w:val="num" w:pos="0"/>
        </w:tabs>
        <w:ind w:start="0" w:hanging="0"/>
      </w:pPr>
      <w:rPr>
        <w:rFonts w:ascii="Symbol" w:hAnsi="Symbol" w:cs="Symbol" w:hint="default"/>
      </w:rPr>
    </w:lvl>
    <w:lvl w:ilvl="6">
      <w:start w:val="1"/>
      <w:numFmt w:val="bullet"/>
      <w:lvlText w:val=""/>
      <w:lvlJc w:val="start"/>
      <w:pPr>
        <w:tabs>
          <w:tab w:val="num" w:pos="0"/>
        </w:tabs>
        <w:ind w:start="0" w:hanging="0"/>
      </w:pPr>
      <w:rPr>
        <w:rFonts w:ascii="Symbol" w:hAnsi="Symbol" w:cs="Symbol" w:hint="default"/>
      </w:rPr>
    </w:lvl>
    <w:lvl w:ilvl="7">
      <w:start w:val="1"/>
      <w:numFmt w:val="bullet"/>
      <w:lvlText w:val=""/>
      <w:lvlJc w:val="start"/>
      <w:pPr>
        <w:tabs>
          <w:tab w:val="num" w:pos="0"/>
        </w:tabs>
        <w:ind w:start="0" w:hanging="0"/>
      </w:pPr>
      <w:rPr>
        <w:rFonts w:ascii="Symbol" w:hAnsi="Symbol" w:cs="Symbol" w:hint="default"/>
      </w:rPr>
    </w:lvl>
    <w:lvl w:ilvl="8">
      <w:start w:val="1"/>
      <w:numFmt w:val="bullet"/>
      <w:lvlText w:val=""/>
      <w:lvlJc w:val="start"/>
      <w:pPr>
        <w:tabs>
          <w:tab w:val="num" w:pos="0"/>
        </w:tabs>
        <w:ind w:start="0" w:hanging="0"/>
      </w:pPr>
      <w:rPr>
        <w:rFonts w:ascii="Symbol" w:hAnsi="Symbol" w:cs="Symbol" w:hint="default"/>
      </w:r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0"/>
      <w:szCs w:val="20"/>
      <w:lang w:val="it-IT" w:bidi="ar-SA" w:eastAsia="zh-CN"/>
    </w:rPr>
  </w:style>
  <w:style w:type="paragraph" w:styleId="Heading1">
    <w:name w:val="Heading 1"/>
    <w:basedOn w:val="Normal"/>
    <w:next w:val="Normal"/>
    <w:qFormat/>
    <w:pPr>
      <w:keepNext w:val="true"/>
      <w:numPr>
        <w:ilvl w:val="0"/>
        <w:numId w:val="1"/>
      </w:numPr>
      <w:outlineLvl w:val="0"/>
    </w:pPr>
    <w:rPr>
      <w:b/>
    </w:rPr>
  </w:style>
  <w:style w:type="character" w:styleId="Carpredefinitoparagrafo">
    <w:name w:val="Car. predefinito paragrafo"/>
    <w:qFormat/>
    <w:rPr/>
  </w:style>
  <w:style w:type="character" w:styleId="Hyperlink">
    <w:name w:val="Hyperlink"/>
    <w:rPr>
      <w:color w:val="0000FF"/>
      <w:u w:val="single"/>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HeaderandFooter">
    <w:name w:val="Header and Footer"/>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819" w:leader="none"/>
        <w:tab w:val="right" w:pos="9638" w:leader="none"/>
      </w:tabs>
    </w:pPr>
    <w:rPr/>
  </w:style>
  <w:style w:type="paragraph" w:styleId="Footer">
    <w:name w:val="Footer"/>
    <w:basedOn w:val="Normal"/>
    <w:pPr>
      <w:tabs>
        <w:tab w:val="clear" w:pos="708"/>
        <w:tab w:val="center" w:pos="4819" w:leader="none"/>
        <w:tab w:val="right" w:pos="9638" w:leader="none"/>
      </w:tabs>
    </w:pPr>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hyperlink" Target="mailto:info@artegrafstampa.it" TargetMode="External"/><Relationship Id="rId2" Type="http://schemas.openxmlformats.org/officeDocument/2006/relationships/hyperlink" Target="http://www.artegrafstampa.it/" TargetMode="Externa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Carta Intestata.dot</Template>
  <TotalTime>1</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2026-09-10T11:52:00Z</dcterms:created>
  <dc:creator>manuela</dc:creator>
  <dc:description/>
  <cp:keywords/>
  <dc:language>en-US</dc:language>
  <cp:lastModifiedBy>Lorenzo Bambini</cp:lastModifiedBy>
  <cp:lastPrinted>2026-06-17T11:04:00Z</cp:lastPrinted>
  <dcterms:modified xsi:type="dcterms:W3CDTF">2026-09-10T11:52:00Z</dcterms:modified>
  <cp:revision>2</cp:revision>
  <dc:subject/>
  <dc:title/>
</cp:coreProperties>
</file>