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Rule="auto"/>
        <w:rPr/>
      </w:pP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30"/>
          <w:szCs w:val="30"/>
          <w:rtl w:val="0"/>
        </w:rPr>
        <w:t xml:space="preserve">Procedura per la gestione delle segnalazioni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90" w:before="240" w:lineRule="auto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1. Scopo</w:t>
      </w:r>
    </w:p>
    <w:p w:rsidR="00000000" w:rsidDel="00000000" w:rsidP="00000000" w:rsidRDefault="00000000" w:rsidRPr="00000000" w14:paraId="00000005">
      <w:pPr>
        <w:spacing w:after="120" w:line="276" w:lineRule="auto"/>
        <w:jc w:val="both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Artegraf S.r.l. mette a disposizione di tutti i propri portatori di interesse un canale stabile, accessibile e riservato attraverso cui segnalare condotte, situazioni o impatti ritenuti scorretti, dannosi o contrari ai valori e agli impegni dell’azienda. La presente procedura descrive chi può segnalare, come farlo, come la segnalazione viene gestita e quali tutele sono garantite a chi segnala.</w:t>
      </w:r>
    </w:p>
    <w:p w:rsidR="00000000" w:rsidDel="00000000" w:rsidP="00000000" w:rsidRDefault="00000000" w:rsidRPr="00000000" w14:paraId="00000006">
      <w:pPr>
        <w:spacing w:after="90" w:before="240" w:lineRule="auto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2. Chi può segnalare</w:t>
      </w:r>
    </w:p>
    <w:p w:rsidR="00000000" w:rsidDel="00000000" w:rsidP="00000000" w:rsidRDefault="00000000" w:rsidRPr="00000000" w14:paraId="00000007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Il canale è aperto a chiunque abbia una relazione con l’azienda, in particolare: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70" w:line="276" w:lineRule="auto"/>
        <w:ind w:left="431" w:hanging="259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lavoratrici e lavoratori, anche con contratti di collaborazione, tirocinio o somministrazione;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70" w:line="276" w:lineRule="auto"/>
        <w:ind w:left="431" w:hanging="259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clienti e potenziali clienti;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70" w:line="276" w:lineRule="auto"/>
        <w:ind w:left="431" w:hanging="259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fornitori, partner commerciali e loro dipendenti;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70" w:line="276" w:lineRule="auto"/>
        <w:ind w:left="431" w:hanging="259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soci, organi di governo e consulenti;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70" w:line="276" w:lineRule="auto"/>
        <w:ind w:left="431" w:hanging="259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membri della comunità locale e altri soggetti interessati dalle attività aziendali.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90" w:before="240" w:lineRule="auto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3. Che cosa può essere segnalato</w:t>
      </w:r>
    </w:p>
    <w:p w:rsidR="00000000" w:rsidDel="00000000" w:rsidP="00000000" w:rsidRDefault="00000000" w:rsidRPr="00000000" w14:paraId="0000000E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 titolo esemplificativo e non esaustivo: ritorsioni nei confronti del segnalante, violazioni del codice etico o delle procedure interne; condotte scorrette verso lavoratori, clienti o fornitori; discriminazioni, molestie o pressioni indebite; impatti ambientali non gestiti; irregolarità amministrative o contabili; criticità relative ai clienti serviti in settori sensibili; qualunque situazione che possa arrecare un danno a persone, ambiente o reputazione dell’azienda.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90" w:before="240" w:lineRule="auto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4. Come effettuare una segnalazione</w:t>
      </w:r>
    </w:p>
    <w:p w:rsidR="00000000" w:rsidDel="00000000" w:rsidP="00000000" w:rsidRDefault="00000000" w:rsidRPr="00000000" w14:paraId="00000010">
      <w:pPr>
        <w:spacing w:after="120" w:line="276" w:lineRule="auto"/>
        <w:jc w:val="both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Sono attivi i seguenti canali:</w:t>
      </w:r>
    </w:p>
    <w:p w:rsidR="00000000" w:rsidDel="00000000" w:rsidP="00000000" w:rsidRDefault="00000000" w:rsidRPr="00000000" w14:paraId="00000011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all’indirizzo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1"/>
            <w:szCs w:val="21"/>
            <w:u w:val="single"/>
            <w:rtl w:val="0"/>
          </w:rPr>
          <w:t xml:space="preserve">https://www.artegrafstampa.it/procedura-di-gestione-dei-reclami/</w:t>
        </w:r>
      </w:hyperlink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 si trovano l’accesso al form di inserimento della segnalazione, e gli altri documenti collegati. Su richiesta del segnalante è possibile un incontro diretto entro un termine ragionevole, con verbalizzazione previo consenso.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276" w:lineRule="auto"/>
        <w:jc w:val="both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La segnalazione non deve essere inviata tramite posta elettronica ordinaria o PEC: tali strumenti non garantiscono un livello adeguato di riservatezza e il loro impiego è espressamente sconsigliato dalle linee guida ANAC.</w:t>
      </w:r>
    </w:p>
    <w:p w:rsidR="00000000" w:rsidDel="00000000" w:rsidP="00000000" w:rsidRDefault="00000000" w:rsidRPr="00000000" w14:paraId="00000013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La segnalazione può essere presentata anche in forma anonima. In tal caso l’azienda darà comunque corso all’istruttoria, nei limiti delle informazioni disponibili, ma non potrà fornire riscontro individuale.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="276" w:lineRule="auto"/>
        <w:jc w:val="both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Per consentire una valutazione utile, si invita a indicare: fatti e circostanze, luogo e periodo, soggetti coinvolti, eventuali documenti o elementi a supporto e un recapito per il riscontro.</w:t>
      </w:r>
    </w:p>
    <w:p w:rsidR="00000000" w:rsidDel="00000000" w:rsidP="00000000" w:rsidRDefault="00000000" w:rsidRPr="00000000" w14:paraId="00000015">
      <w:pPr>
        <w:spacing w:after="90" w:before="240" w:lineRule="auto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5. Criteri di ammissibilità</w:t>
      </w:r>
    </w:p>
    <w:p w:rsidR="00000000" w:rsidDel="00000000" w:rsidP="00000000" w:rsidRDefault="00000000" w:rsidRPr="00000000" w14:paraId="00000016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Una segnalazione è presa in carico quando riguarda fatti riconducibili all’attività, alle persone o alla catena di fornitura di Artegraf e contiene elementi sufficientemente circostanziati da consentirne la verifica. Non sono trattate come segnalazioni: le rivendicazioni esclusivamente personali già oggetto di specifiche procedure (ad esempio contenzioso di lavoro individuale), le richieste commerciali ordinarie e le segnalazioni manifestamente prive di fondamento o presentate in mala fede.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90" w:before="240" w:lineRule="auto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6. Processo di gestione e tempi</w:t>
      </w:r>
    </w:p>
    <w:p w:rsidR="00000000" w:rsidDel="00000000" w:rsidP="00000000" w:rsidRDefault="00000000" w:rsidRPr="00000000" w14:paraId="00000018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La gestione è affidata a Martina Bambini, che opera in autonomia rispetto alle aree oggetto di segnalazione. In caso di conflitto di interesse, o quando la segnalazione riguarda la sua persona, la pratica è trasferita a Maria Mencarelli; se il conflitto riguarda entrambe, l’organo amministrativo affida l’istruttoria a un professionista esterno indipendente. Al segnalante è indicato fin dall’avvio chi sarà coinvolto o informato nel corso dell’istruttoria.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70" w:line="276" w:lineRule="auto"/>
        <w:ind w:left="431" w:hanging="259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Ricezione e protocollo in registro riservato: immediata.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70" w:line="276" w:lineRule="auto"/>
        <w:ind w:left="431" w:hanging="259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Avviso di ricevimento al segnalante: entro 7 giorni dalla ricezione.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70" w:line="276" w:lineRule="auto"/>
        <w:ind w:left="431" w:hanging="259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Valutazione di ammissibilità: entro 15 giorni; in caso di non accoglimento viene comunicata al segnalante la motivazione.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70" w:line="276" w:lineRule="auto"/>
        <w:ind w:left="431" w:hanging="259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Valutazione preventiva del rischio di ritorsione, in particolare per i soggetti in posizione di maggiore vulnerabilità, e adozione delle misure di protezione necessarie, ove opportuno con il supporto di terze parti indipendenti.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70" w:line="276" w:lineRule="auto"/>
        <w:ind w:left="431" w:hanging="259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Istruttoria: audizione del segnalante se richiesto, raccolta di documenti, ascolto dei soggetti coinvolti nel rispetto del contraddittorio. La persona coinvolta è informata degli addebiti, delle misure applicabili e del proprio diritto di presentare osservazioni e documenti prima di ogni decisione.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70" w:line="276" w:lineRule="auto"/>
        <w:ind w:left="431" w:hanging="259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Misure interinali, adottate immediatamente quando occorre proteggere il segnalante o l’integrità dell’istruttoria: separazione funzionale delle persone coinvolte, sospensione dell’atto pregiudizievole, sospensione cautelare, congelamento degli ordini verso il fornitore interessato.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70" w:line="276" w:lineRule="auto"/>
        <w:ind w:left="431" w:hanging="259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Riscontro sull’esito e sulle azioni intraprese: entro 3 mesi dall’avviso di ricevimento. Se l’istruttoria richiede più tempo, il segnalante è informato dello stato di avanzamento e del nuovo termine previsto.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70" w:line="276" w:lineRule="auto"/>
        <w:ind w:left="431" w:hanging="259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Definizione delle azioni correttive e di rimedio, con individuazione di responsabile e scadenza, e verifica della loro attuazione.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90" w:before="240" w:lineRule="auto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7. Facilitazione della risoluzione, chiusura e verifica</w:t>
      </w:r>
    </w:p>
    <w:p w:rsidR="00000000" w:rsidDel="00000000" w:rsidP="00000000" w:rsidRDefault="00000000" w:rsidRPr="00000000" w14:paraId="00000022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Quando la questione è componibile e le parti vi acconsentono, il Gestore può attivare un intervento di facilitazione o mediazione condotto da un soggetto terzo e imparziale: una persona interna non coinvolta oppure un professionista esterno. Il percorso di facilitazione non sospende né sostituisce gli obblighi di accertamento e l’applicazione delle conseguenze previste dalla Policy di tutela del segnalante.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70" w:line="276" w:lineRule="auto"/>
        <w:ind w:left="431" w:hanging="259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L’istruttoria si chiude con verbale motivato che indica i fatti accertati, le misure correttive e di rimedio adottate, il responsabile dell’attuazione e i tempi previsti.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70" w:line="276" w:lineRule="auto"/>
        <w:ind w:left="431" w:hanging="259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L’esito è comunicato al segnalante e alla persona coinvolta, nei limiti consentiti dalla riservatezza e dalla normativa.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70" w:line="276" w:lineRule="auto"/>
        <w:ind w:left="431" w:hanging="259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L’effettiva attuazione delle misure è verificata a 3 e a 6 mesi dalla chiusura, con annotazione nel registro delle segnalazioni e informativa all’organo amministrativo.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70" w:line="276" w:lineRule="auto"/>
        <w:ind w:left="431" w:hanging="259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La tipologia e la graduazione delle conseguenze applicabili a ciascuna parte interessata — dipendenti, collaboratori, organi sociali, fornitori, clienti — sono definite al punto 4 della Policy di tutela del segnalante.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90" w:before="240" w:lineRule="auto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8. Riservatezza e gestione documentale</w:t>
      </w:r>
    </w:p>
    <w:p w:rsidR="00000000" w:rsidDel="00000000" w:rsidP="00000000" w:rsidRDefault="00000000" w:rsidRPr="00000000" w14:paraId="00000028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L’identità del segnalante e ogni informazione che possa rivelarla sono coperte da riservatezza e accessibili al solo Gestore delle segnalazioni; la divulgazione a terzi avviene esclusivamente con il consenso dell’interessato o nei casi imposti dalla legge, e prima di qualsiasi condivisione necessaria l’interessato viene informato. Nelle comunicazioni interne i dati identificativi sono oscurati. La documentazione è conservata in archivio protetto, con accesso tracciato, per il tempo necessario alla gestione e comunque nei limiti previsti dalla normativa sulla protezione dei dati personali.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90" w:before="240" w:lineRule="auto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9. Segnalazione di ritorsioni</w:t>
      </w:r>
    </w:p>
    <w:p w:rsidR="00000000" w:rsidDel="00000000" w:rsidP="00000000" w:rsidRDefault="00000000" w:rsidRPr="00000000" w14:paraId="0000002A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Sono vietate e sanzionate tutte le forme di ritorsione, anche solo tentate, nei confronti di chi effettua una segnalazione in buona fede, di chi vi collabora e delle persone a lui collegate. Le presunte ritorsioni possono essere segnalate attraverso i medesimi canali indicati al punto 4 e sono trattate in via prioritaria, con adozione immediata delle misure di protezione necessarie. In caso di atto pregiudizievole subito dal segnalante dopo la segnalazione, spetta all’azienda dimostrare che tale atto è motivato da ragioni estranee alla segnalazione. Le condotte vietate, le tutele garantite e le conseguenze applicabili sono descritte nella Policy di tutela del segnalante, disponibile all’indirizzo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1"/>
            <w:szCs w:val="21"/>
            <w:u w:val="single"/>
            <w:rtl w:val="0"/>
          </w:rPr>
          <w:t xml:space="preserve">https://www.artegrafstampa.it/policy-di-tutela-del-segnalante/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, che costituisce parte integrante della presente procedura.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90" w:before="240" w:lineRule="auto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10. Canale esterno e divulgazione pubblica</w:t>
      </w:r>
    </w:p>
    <w:p w:rsidR="00000000" w:rsidDel="00000000" w:rsidP="00000000" w:rsidRDefault="00000000" w:rsidRPr="00000000" w14:paraId="0000002C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La presente procedura non limita il diritto di rivolgersi al canale esterno di segnalazione istituito e gestito dall’Autorità Nazionale Anticorruzione (ANAC) ai sensi del D.Lgs. 24/2023, accessibile dalla piattaforma dedicata sul sito www.anticorruzione.it. Tale canale ha natura sussidiaria: la normativa privilegia il canale interno e ammette il ricorso ad ANAC nei casi previsti dal decreto, tra cui l’assenza o la non conformità del canale interno, la mancata adozione di misure adeguate a seguito della segnalazione, il timore fondato di ritorsione o il pericolo imminente o palese per il pubblico interesse. La divulgazione pubblica è ammessa solo alle condizioni tassativamente indicate dalla normativa.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Le tutele previste dalla Policy di tutela del segnalante si applicano integralmente anche a chi utilizza il canale esterno o effettua una divulgazione pubblica nei casi consentiti. L’azienda si impegna a mantenere il proprio canale interno efficace e accessibile, affinché il ricorso al canale esterno resti un’opzione e non una necessità.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90" w:before="240" w:lineRule="auto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11. Registro, formazione, riesame e trasparenza</w:t>
      </w:r>
    </w:p>
    <w:p w:rsidR="00000000" w:rsidDel="00000000" w:rsidP="00000000" w:rsidRDefault="00000000" w:rsidRPr="00000000" w14:paraId="0000002F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Il Gestore mantiene un registro riservato delle segnalazioni ricevute, degli esiti e delle azioni correttive. Con cadenza almeno annuale è predisposta una sintesi aggregata e anonima per l’organo di governo, utile a individuare cause ricorrenti e miglioramenti di processo.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sz w:val="21"/>
          <w:szCs w:val="21"/>
          <w:rtl w:val="0"/>
        </w:rPr>
        <w:t xml:space="preserve">Chi gestisce le segnalazioni riceve formazione specifica su riservatezza, imparzialità e gestione del conflitto di interesse; l’intera organizzazione è informata dell’esistenza dei canali e delle tutele, e le parti interessate esterne ne sono informate secondo quanto previsto al punto 4.6 della Policy di tutela del segnalante. La presente procedura è pubblicata sul sito aziendale ed è riesaminata almeno ogni due anni o al mutare del contesto normativo e organizzativo.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90" w:before="240" w:lineRule="auto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3"/>
          <w:szCs w:val="23"/>
          <w:rtl w:val="0"/>
        </w:rPr>
        <w:t xml:space="preserve">12. Approvazione</w:t>
      </w:r>
    </w:p>
    <w:p w:rsidR="00000000" w:rsidDel="00000000" w:rsidP="00000000" w:rsidRDefault="00000000" w:rsidRPr="00000000" w14:paraId="00000032">
      <w:pPr>
        <w:spacing w:after="120" w:line="276" w:lineRule="auto"/>
        <w:jc w:val="both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Approvata dall'organo Amministrativo in data 10 settembre 2026. Responsabile del riesame: Lorenzo Bambini.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 xml:space="preserve">    </w:t>
        <w:tab/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1134" w:top="1417" w:left="1134" w:right="386" w:header="708" w:footer="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Helvetica Neu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6" w:val="single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Artegraf s.r.l.</w:t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06011 – Città di Castello – Perugia – Italy – Via Vittorini, 20/b loc. Cerbara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Tel. 075.851.11.41 Fax 075.851.90.35 - e.Mail: </w:t>
    </w:r>
    <w:hyperlink r:id="rId2"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info@artegrafstampa.it</w:t>
      </w:r>
    </w:hyperlink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- </w:t>
    </w:r>
    <w:hyperlink r:id="rId3"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www.artegrafstampa.it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Immagine 1" style="width:494.25pt;height:126pt;visibility:visible;mso-wrap-style:square" o:spid="_x0000_i1025" type="#_x0000_t75">
          <v:imagedata cropbottom="-3f" cropleft="-1f" cropright="-1f" croptop="-3f" r:id="rId1" o:title="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31" w:hanging="259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−"/>
      <w:lvlJc w:val="left"/>
      <w:pPr>
        <w:ind w:left="863" w:hanging="259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←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rPr>
      <w:color w:val="0000ff"/>
      <w:u w:val="single"/>
    </w:rPr>
  </w:style>
  <w:style w:type="paragraph" w:styleId="Heading" w:customStyle="1">
    <w:name w:val="Heading"/>
    <w:basedOn w:val="Normale"/>
    <w:next w:val="Corpotesto"/>
    <w:qFormat w:val="1"/>
    <w:pPr>
      <w:keepNext w:val="1"/>
      <w:spacing w:after="120" w:before="240"/>
    </w:pPr>
    <w:rPr>
      <w:rFonts w:ascii="Liberation Sans" w:cs="FreeSans" w:eastAsia="Noto Sans CJK SC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 w:val="1"/>
    <w:pPr>
      <w:suppressLineNumbers w:val="1"/>
      <w:spacing w:after="120" w:before="120"/>
    </w:pPr>
    <w:rPr>
      <w:rFonts w:cs="FreeSans"/>
      <w:i w:val="1"/>
      <w:iCs w:val="1"/>
      <w:sz w:val="24"/>
      <w:szCs w:val="24"/>
    </w:rPr>
  </w:style>
  <w:style w:type="paragraph" w:styleId="Index" w:customStyle="1">
    <w:name w:val="Index"/>
    <w:basedOn w:val="Normale"/>
    <w:qFormat w:val="1"/>
    <w:pPr>
      <w:suppressLineNumbers w:val="1"/>
    </w:pPr>
    <w:rPr>
      <w:rFonts w:cs="FreeSans"/>
    </w:rPr>
  </w:style>
  <w:style w:type="paragraph" w:styleId="HeaderandFooter" w:customStyle="1">
    <w:name w:val="Header and Footer"/>
    <w:basedOn w:val="Normale"/>
    <w:qFormat w:val="1"/>
    <w:pPr>
      <w:suppressLineNumbers w:val="1"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numbering" w:styleId="WW8Num1" w:customStyle="1">
    <w:name w:val="WW8Num1"/>
    <w:qFormat w:val="1"/>
  </w:style>
  <w:style w:type="character" w:styleId="Menzionenonrisolta">
    <w:name w:val="Unresolved Mention"/>
    <w:uiPriority w:val="99"/>
    <w:semiHidden w:val="1"/>
    <w:unhideWhenUsed w:val="1"/>
    <w:rsid w:val="004860CB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artegrafstampa.it/wp-content/uploads/Policy-di-tutela-del-segnalante_IT.docx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www.artegrafstampa.it/procedura-di-gestione-dei-reclami/" TargetMode="External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HelveticaNeue-regular.ttf"/><Relationship Id="rId3" Type="http://schemas.openxmlformats.org/officeDocument/2006/relationships/font" Target="fonts/HelveticaNeue-bold.ttf"/><Relationship Id="rId4" Type="http://schemas.openxmlformats.org/officeDocument/2006/relationships/font" Target="fonts/HelveticaNeue-italic.ttf"/><Relationship Id="rId5" Type="http://schemas.openxmlformats.org/officeDocument/2006/relationships/font" Target="fonts/HelveticaNeue-boldItalic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2" Type="http://schemas.openxmlformats.org/officeDocument/2006/relationships/hyperlink" Target="mailto:info@artegrafstampa.it" TargetMode="External"/><Relationship Id="rId3" Type="http://schemas.openxmlformats.org/officeDocument/2006/relationships/hyperlink" Target="http://www.artegrafstampa.it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ag8SrFZuH8ghtMPiHESnKmB7TQ==">CgMxLjA4AHIhMVFodG1MdDNWajQ1WVVnQUwtQkFHWVZhZ2RCbDlTMzFs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