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60" w:lineRule="auto"/>
        <w:rPr/>
      </w:pPr>
      <w:r w:rsidDel="00000000" w:rsidR="00000000" w:rsidRPr="00000000">
        <w:rPr>
          <w:rtl w:val="0"/>
        </w:rPr>
        <w:tab/>
        <w:tab/>
      </w:r>
      <w:r w:rsidDel="00000000" w:rsidR="00000000" w:rsidRPr="00000000">
        <w:rPr>
          <w:rFonts w:ascii="Calibri" w:cs="Calibri" w:eastAsia="Calibri" w:hAnsi="Calibri"/>
          <w:b w:val="1"/>
          <w:bCs w:val="1"/>
          <w:sz w:val="30"/>
          <w:szCs w:val="30"/>
          <w:rtl w:val="0"/>
        </w:rPr>
        <w:t xml:space="preserve">Procédure de gestion des signalements</w:t>
      </w:r>
      <w:r w:rsidDel="00000000" w:rsidR="00000000" w:rsidRPr="00000000">
        <w:rPr>
          <w:rtl w:val="0"/>
        </w:rPr>
      </w:r>
    </w:p>
    <w:p w:rsidR="00000000" w:rsidDel="00000000" w:rsidP="00000000" w:rsidRDefault="00000000" w:rsidRPr="00000000" w14:paraId="00000004">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1. Objet</w:t>
      </w:r>
    </w:p>
    <w:p w:rsidR="00000000" w:rsidDel="00000000" w:rsidP="00000000" w:rsidRDefault="00000000" w:rsidRPr="00000000" w14:paraId="00000005">
      <w:pPr>
        <w:spacing w:after="12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Artegraf S.r.l. met à la disposition de toutes ses parties prenantes un canal stable, accessible et confidentiel permettant de signaler des comportements, des situations ou des impacts jugés incorrects, dommageables ou contraires aux valeurs et aux engagements de l’entreprise. La présente procédure décrit qui peut signaler, comment le faire, comment le signalement est traité et quelles protections sont garanties à son auteur.</w:t>
      </w:r>
    </w:p>
    <w:p w:rsidR="00000000" w:rsidDel="00000000" w:rsidP="00000000" w:rsidRDefault="00000000" w:rsidRPr="00000000" w14:paraId="00000006">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2. Qui peut signaler</w:t>
      </w:r>
    </w:p>
    <w:p w:rsidR="00000000" w:rsidDel="00000000" w:rsidP="00000000" w:rsidRDefault="00000000" w:rsidRPr="00000000" w14:paraId="00000007">
      <w:pPr>
        <w:spacing w:after="120" w:line="276" w:lineRule="auto"/>
        <w:jc w:val="both"/>
        <w:rPr/>
      </w:pPr>
      <w:r w:rsidDel="00000000" w:rsidR="00000000" w:rsidRPr="00000000">
        <w:rPr>
          <w:rFonts w:ascii="Calibri" w:cs="Calibri" w:eastAsia="Calibri" w:hAnsi="Calibri"/>
          <w:sz w:val="21"/>
          <w:szCs w:val="21"/>
          <w:rtl w:val="0"/>
        </w:rPr>
        <w:t xml:space="preserve">Le canal est ouvert à toute personne ayant une relation avec l’entreprise, en particulier :</w:t>
      </w:r>
      <w:r w:rsidDel="00000000" w:rsidR="00000000" w:rsidRPr="00000000">
        <w:rPr>
          <w:rtl w:val="0"/>
        </w:rPr>
      </w:r>
    </w:p>
    <w:p w:rsidR="00000000" w:rsidDel="00000000" w:rsidP="00000000" w:rsidRDefault="00000000" w:rsidRPr="00000000" w14:paraId="00000008">
      <w:pPr>
        <w:numPr>
          <w:ilvl w:val="0"/>
          <w:numId w:val="1"/>
        </w:numPr>
        <w:spacing w:after="70" w:line="276" w:lineRule="auto"/>
        <w:ind w:left="431" w:hanging="259"/>
        <w:rPr/>
      </w:pPr>
      <w:r w:rsidDel="00000000" w:rsidR="00000000" w:rsidRPr="00000000">
        <w:rPr>
          <w:rFonts w:ascii="Calibri" w:cs="Calibri" w:eastAsia="Calibri" w:hAnsi="Calibri"/>
          <w:color w:val="000000"/>
          <w:sz w:val="21"/>
          <w:szCs w:val="21"/>
          <w:rtl w:val="0"/>
        </w:rPr>
        <w:t xml:space="preserve">les travailleuses et les travailleurs, y compris sous contrat de collaboration, de stage ou d’intérim ;</w:t>
      </w:r>
      <w:r w:rsidDel="00000000" w:rsidR="00000000" w:rsidRPr="00000000">
        <w:rPr>
          <w:rtl w:val="0"/>
        </w:rPr>
      </w:r>
    </w:p>
    <w:p w:rsidR="00000000" w:rsidDel="00000000" w:rsidP="00000000" w:rsidRDefault="00000000" w:rsidRPr="00000000" w14:paraId="00000009">
      <w:pPr>
        <w:numPr>
          <w:ilvl w:val="0"/>
          <w:numId w:val="1"/>
        </w:numPr>
        <w:spacing w:after="70" w:line="276" w:lineRule="auto"/>
        <w:ind w:left="431" w:hanging="259"/>
        <w:rPr/>
      </w:pPr>
      <w:r w:rsidDel="00000000" w:rsidR="00000000" w:rsidRPr="00000000">
        <w:rPr>
          <w:rFonts w:ascii="Calibri" w:cs="Calibri" w:eastAsia="Calibri" w:hAnsi="Calibri"/>
          <w:color w:val="000000"/>
          <w:sz w:val="21"/>
          <w:szCs w:val="21"/>
          <w:rtl w:val="0"/>
        </w:rPr>
        <w:t xml:space="preserve">les clients et clients potentiels ;</w:t>
      </w:r>
      <w:r w:rsidDel="00000000" w:rsidR="00000000" w:rsidRPr="00000000">
        <w:rPr>
          <w:rtl w:val="0"/>
        </w:rPr>
      </w:r>
    </w:p>
    <w:p w:rsidR="00000000" w:rsidDel="00000000" w:rsidP="00000000" w:rsidRDefault="00000000" w:rsidRPr="00000000" w14:paraId="0000000A">
      <w:pPr>
        <w:numPr>
          <w:ilvl w:val="0"/>
          <w:numId w:val="1"/>
        </w:numPr>
        <w:spacing w:after="70" w:line="276" w:lineRule="auto"/>
        <w:ind w:left="431" w:hanging="259"/>
        <w:rPr/>
      </w:pPr>
      <w:r w:rsidDel="00000000" w:rsidR="00000000" w:rsidRPr="00000000">
        <w:rPr>
          <w:rFonts w:ascii="Calibri" w:cs="Calibri" w:eastAsia="Calibri" w:hAnsi="Calibri"/>
          <w:color w:val="000000"/>
          <w:sz w:val="21"/>
          <w:szCs w:val="21"/>
          <w:rtl w:val="0"/>
        </w:rPr>
        <w:t xml:space="preserve">les fournisseurs, partenaires commerciaux et leurs salariés ;</w:t>
      </w:r>
      <w:r w:rsidDel="00000000" w:rsidR="00000000" w:rsidRPr="00000000">
        <w:rPr>
          <w:rtl w:val="0"/>
        </w:rPr>
      </w:r>
    </w:p>
    <w:p w:rsidR="00000000" w:rsidDel="00000000" w:rsidP="00000000" w:rsidRDefault="00000000" w:rsidRPr="00000000" w14:paraId="0000000B">
      <w:pPr>
        <w:numPr>
          <w:ilvl w:val="0"/>
          <w:numId w:val="1"/>
        </w:numPr>
        <w:spacing w:after="70" w:line="276" w:lineRule="auto"/>
        <w:ind w:left="431" w:hanging="259"/>
        <w:rPr/>
      </w:pPr>
      <w:r w:rsidDel="00000000" w:rsidR="00000000" w:rsidRPr="00000000">
        <w:rPr>
          <w:rFonts w:ascii="Calibri" w:cs="Calibri" w:eastAsia="Calibri" w:hAnsi="Calibri"/>
          <w:color w:val="000000"/>
          <w:sz w:val="21"/>
          <w:szCs w:val="21"/>
          <w:rtl w:val="0"/>
        </w:rPr>
        <w:t xml:space="preserve">les associés, les organes de gouvernance et les consultants ;</w:t>
      </w:r>
      <w:r w:rsidDel="00000000" w:rsidR="00000000" w:rsidRPr="00000000">
        <w:rPr>
          <w:rtl w:val="0"/>
        </w:rPr>
      </w:r>
    </w:p>
    <w:p w:rsidR="00000000" w:rsidDel="00000000" w:rsidP="00000000" w:rsidRDefault="00000000" w:rsidRPr="00000000" w14:paraId="0000000C">
      <w:pPr>
        <w:numPr>
          <w:ilvl w:val="0"/>
          <w:numId w:val="1"/>
        </w:numPr>
        <w:spacing w:after="70" w:line="276" w:lineRule="auto"/>
        <w:ind w:left="431" w:hanging="259"/>
        <w:rPr/>
      </w:pPr>
      <w:r w:rsidDel="00000000" w:rsidR="00000000" w:rsidRPr="00000000">
        <w:rPr>
          <w:rFonts w:ascii="Calibri" w:cs="Calibri" w:eastAsia="Calibri" w:hAnsi="Calibri"/>
          <w:color w:val="000000"/>
          <w:sz w:val="21"/>
          <w:szCs w:val="21"/>
          <w:rtl w:val="0"/>
        </w:rPr>
        <w:t xml:space="preserve">les membres de la communauté locale et les autres personnes concernées par les activités de l’entreprise.</w:t>
      </w:r>
      <w:r w:rsidDel="00000000" w:rsidR="00000000" w:rsidRPr="00000000">
        <w:rPr>
          <w:rtl w:val="0"/>
        </w:rPr>
      </w:r>
    </w:p>
    <w:p w:rsidR="00000000" w:rsidDel="00000000" w:rsidP="00000000" w:rsidRDefault="00000000" w:rsidRPr="00000000" w14:paraId="0000000D">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3. Ce qui peut être signalé</w:t>
      </w:r>
    </w:p>
    <w:p w:rsidR="00000000" w:rsidDel="00000000" w:rsidP="00000000" w:rsidRDefault="00000000" w:rsidRPr="00000000" w14:paraId="0000000E">
      <w:pPr>
        <w:spacing w:after="120" w:line="276" w:lineRule="auto"/>
        <w:jc w:val="both"/>
        <w:rPr/>
      </w:pPr>
      <w:r w:rsidDel="00000000" w:rsidR="00000000" w:rsidRPr="00000000">
        <w:rPr>
          <w:rFonts w:ascii="Calibri" w:cs="Calibri" w:eastAsia="Calibri" w:hAnsi="Calibri"/>
          <w:sz w:val="21"/>
          <w:szCs w:val="21"/>
          <w:rtl w:val="0"/>
        </w:rPr>
        <w:t xml:space="preserve">À titre indicatif et non exhaustif : les représailles à l’encontre de l’auteur d’un signalement, les violations du code éthique ou des procédures internes ; les comportements incorrects envers les salariés, les clients ou les fournisseurs ; les discriminations, le harcèlement ou les pressions indues ; les impacts environnementaux non maîtrisés ; les irrégularités administratives ou comptables ; les problématiques liées aux clients servis dans des secteurs sensibles ; toute situation susceptible de porter préjudice aux personnes, à l’environnement ou à la réputation de l’entreprise.</w:t>
      </w:r>
      <w:r w:rsidDel="00000000" w:rsidR="00000000" w:rsidRPr="00000000">
        <w:rPr>
          <w:rtl w:val="0"/>
        </w:rPr>
      </w:r>
    </w:p>
    <w:p w:rsidR="00000000" w:rsidDel="00000000" w:rsidP="00000000" w:rsidRDefault="00000000" w:rsidRPr="00000000" w14:paraId="0000000F">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4. Comment effectuer un signalement</w:t>
      </w:r>
    </w:p>
    <w:p w:rsidR="00000000" w:rsidDel="00000000" w:rsidP="00000000" w:rsidRDefault="00000000" w:rsidRPr="00000000" w14:paraId="00000010">
      <w:pPr>
        <w:spacing w:after="12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Les canaux suivants sont disponibles :</w:t>
      </w:r>
    </w:p>
    <w:p w:rsidR="00000000" w:rsidDel="00000000" w:rsidP="00000000" w:rsidRDefault="00000000" w:rsidRPr="00000000" w14:paraId="00000011">
      <w:pPr>
        <w:spacing w:after="120" w:line="276" w:lineRule="auto"/>
        <w:jc w:val="both"/>
        <w:rPr/>
      </w:pPr>
      <w:r w:rsidDel="00000000" w:rsidR="00000000" w:rsidRPr="00000000">
        <w:rPr>
          <w:rFonts w:ascii="Calibri" w:cs="Calibri" w:eastAsia="Calibri" w:hAnsi="Calibri"/>
          <w:sz w:val="21"/>
          <w:szCs w:val="21"/>
          <w:rtl w:val="0"/>
        </w:rPr>
        <w:t xml:space="preserve">à l’adresse </w:t>
      </w:r>
      <w:hyperlink r:id="rId8">
        <w:r w:rsidDel="00000000" w:rsidR="00000000" w:rsidRPr="00000000">
          <w:rPr>
            <w:rFonts w:ascii="Calibri" w:cs="Calibri" w:eastAsia="Calibri" w:hAnsi="Calibri"/>
            <w:color w:val="1155cc"/>
            <w:sz w:val="21"/>
            <w:szCs w:val="21"/>
            <w:u w:val="single"/>
            <w:rtl w:val="0"/>
          </w:rPr>
          <w:t xml:space="preserve">https://www.artegrafstampa.it/fr/procedure-de-gestion-des-signalements/</w:t>
        </w:r>
      </w:hyperlink>
      <w:r w:rsidDel="00000000" w:rsidR="00000000" w:rsidRPr="00000000">
        <w:rPr>
          <w:rFonts w:ascii="Calibri" w:cs="Calibri" w:eastAsia="Calibri" w:hAnsi="Calibri"/>
          <w:sz w:val="21"/>
          <w:szCs w:val="21"/>
          <w:rtl w:val="0"/>
        </w:rPr>
        <w:t xml:space="preserve"> se trouvent l’accès au formulaire de signalement ainsi que les autres documents liés. À la demande de l’auteur du signalement, un entretien direct peut être organisé dans un délai raisonnable, avec procès-verbal sous réserve de son consentement.</w:t>
      </w:r>
      <w:r w:rsidDel="00000000" w:rsidR="00000000" w:rsidRPr="00000000">
        <w:rPr>
          <w:rtl w:val="0"/>
        </w:rPr>
      </w:r>
    </w:p>
    <w:p w:rsidR="00000000" w:rsidDel="00000000" w:rsidP="00000000" w:rsidRDefault="00000000" w:rsidRPr="00000000" w14:paraId="00000012">
      <w:pPr>
        <w:spacing w:after="12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Le signalement ne doit pas être transmis par courrier électronique ordinaire ou par messagerie certifiée (PEC) : ces outils ne garantissent pas un niveau de confidentialité adéquat et leur utilisation est expressément déconseillée par les lignes directrices de l’ANAC.</w:t>
      </w:r>
    </w:p>
    <w:p w:rsidR="00000000" w:rsidDel="00000000" w:rsidP="00000000" w:rsidRDefault="00000000" w:rsidRPr="00000000" w14:paraId="00000013">
      <w:pPr>
        <w:spacing w:after="120" w:line="276" w:lineRule="auto"/>
        <w:jc w:val="both"/>
        <w:rPr/>
      </w:pPr>
      <w:r w:rsidDel="00000000" w:rsidR="00000000" w:rsidRPr="00000000">
        <w:rPr>
          <w:rFonts w:ascii="Calibri" w:cs="Calibri" w:eastAsia="Calibri" w:hAnsi="Calibri"/>
          <w:sz w:val="21"/>
          <w:szCs w:val="21"/>
          <w:rtl w:val="0"/>
        </w:rPr>
        <w:t xml:space="preserve">Le signalement peut également être présenté de manière anonyme. Dans ce cas, l’entreprise donnera néanmoins suite à l’instruction, dans la limite des informations disponibles, mais ne pourra pas fournir de retour individuel.</w:t>
      </w:r>
      <w:r w:rsidDel="00000000" w:rsidR="00000000" w:rsidRPr="00000000">
        <w:rPr>
          <w:rtl w:val="0"/>
        </w:rPr>
      </w:r>
    </w:p>
    <w:p w:rsidR="00000000" w:rsidDel="00000000" w:rsidP="00000000" w:rsidRDefault="00000000" w:rsidRPr="00000000" w14:paraId="00000014">
      <w:pPr>
        <w:spacing w:after="12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Pour permettre une évaluation utile, il est recommandé d’indiquer : les faits et circonstances, le lieu et la période, les personnes impliquées, les éventuels documents ou éléments à l’appui et un contact pour le retour d’information.</w:t>
      </w:r>
    </w:p>
    <w:p w:rsidR="00000000" w:rsidDel="00000000" w:rsidP="00000000" w:rsidRDefault="00000000" w:rsidRPr="00000000" w14:paraId="00000015">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5. Critères de recevabilité</w:t>
      </w:r>
    </w:p>
    <w:p w:rsidR="00000000" w:rsidDel="00000000" w:rsidP="00000000" w:rsidRDefault="00000000" w:rsidRPr="00000000" w14:paraId="00000016">
      <w:pPr>
        <w:spacing w:after="120" w:line="276" w:lineRule="auto"/>
        <w:jc w:val="both"/>
        <w:rPr/>
      </w:pPr>
      <w:r w:rsidDel="00000000" w:rsidR="00000000" w:rsidRPr="00000000">
        <w:rPr>
          <w:rFonts w:ascii="Calibri" w:cs="Calibri" w:eastAsia="Calibri" w:hAnsi="Calibri"/>
          <w:sz w:val="21"/>
          <w:szCs w:val="21"/>
          <w:rtl w:val="0"/>
        </w:rPr>
        <w:t xml:space="preserve">Un signalement est pris en charge lorsqu’il porte sur des faits liés à l’activité, aux personnes ou à la chaîne d’approvisionnement d’Artegraf et contient des éléments suffisamment circonstanciés pour en permettre la vérification. Ne sont pas traités comme des signalements : les revendications exclusivement personnelles déjà couvertes par des procédures spécifiques (par exemple un contentieux individuel du travail), les demandes commerciales ordinaires et les signalements manifestement infondés ou présentés de mauvaise foi.</w:t>
      </w:r>
      <w:r w:rsidDel="00000000" w:rsidR="00000000" w:rsidRPr="00000000">
        <w:rPr>
          <w:rtl w:val="0"/>
        </w:rPr>
      </w:r>
    </w:p>
    <w:p w:rsidR="00000000" w:rsidDel="00000000" w:rsidP="00000000" w:rsidRDefault="00000000" w:rsidRPr="00000000" w14:paraId="00000017">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6. Processus de gestion et délais</w:t>
      </w:r>
    </w:p>
    <w:p w:rsidR="00000000" w:rsidDel="00000000" w:rsidP="00000000" w:rsidRDefault="00000000" w:rsidRPr="00000000" w14:paraId="00000018">
      <w:pPr>
        <w:spacing w:after="120" w:line="276" w:lineRule="auto"/>
        <w:jc w:val="both"/>
        <w:rPr/>
      </w:pPr>
      <w:r w:rsidDel="00000000" w:rsidR="00000000" w:rsidRPr="00000000">
        <w:rPr>
          <w:rFonts w:ascii="Calibri" w:cs="Calibri" w:eastAsia="Calibri" w:hAnsi="Calibri"/>
          <w:color w:val="000000"/>
          <w:sz w:val="21"/>
          <w:szCs w:val="21"/>
          <w:rtl w:val="0"/>
        </w:rPr>
        <w:t xml:space="preserve">La gestion est confiée à Martina Bambini, qui agit en toute autonomie par rapport aux domaines faisant l’objet des signalements. En cas de conflit d’intérêts, ou lorsque le signalement la concerne, le dossier est transféré à Maria Mencarelli ; si le conflit concerne les deux, l’organe d’administration confie l’instruction à un professionnel externe indépendant. L’auteur du signalement est informé dès le départ des personnes qui seront impliquées ou informées au cours de l’instruction.</w:t>
      </w:r>
      <w:r w:rsidDel="00000000" w:rsidR="00000000" w:rsidRPr="00000000">
        <w:rPr>
          <w:rtl w:val="0"/>
        </w:rPr>
      </w:r>
    </w:p>
    <w:p w:rsidR="00000000" w:rsidDel="00000000" w:rsidP="00000000" w:rsidRDefault="00000000" w:rsidRPr="00000000" w14:paraId="00000019">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Réception et enregistrement dans un registre confidentiel : immédiat.</w:t>
      </w:r>
      <w:r w:rsidDel="00000000" w:rsidR="00000000" w:rsidRPr="00000000">
        <w:rPr>
          <w:rtl w:val="0"/>
        </w:rPr>
      </w:r>
    </w:p>
    <w:p w:rsidR="00000000" w:rsidDel="00000000" w:rsidP="00000000" w:rsidRDefault="00000000" w:rsidRPr="00000000" w14:paraId="0000001A">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Accusé de réception à l’auteur du signalement : dans les 7 jours suivant la réception.</w:t>
      </w:r>
      <w:r w:rsidDel="00000000" w:rsidR="00000000" w:rsidRPr="00000000">
        <w:rPr>
          <w:rtl w:val="0"/>
        </w:rPr>
      </w:r>
    </w:p>
    <w:p w:rsidR="00000000" w:rsidDel="00000000" w:rsidP="00000000" w:rsidRDefault="00000000" w:rsidRPr="00000000" w14:paraId="0000001B">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Évaluation de la recevabilité : dans les 15 jours ; en cas de rejet, les motifs sont communiqués à l’auteur du signalement.</w:t>
      </w:r>
      <w:r w:rsidDel="00000000" w:rsidR="00000000" w:rsidRPr="00000000">
        <w:rPr>
          <w:rtl w:val="0"/>
        </w:rPr>
      </w:r>
    </w:p>
    <w:p w:rsidR="00000000" w:rsidDel="00000000" w:rsidP="00000000" w:rsidRDefault="00000000" w:rsidRPr="00000000" w14:paraId="0000001C">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Évaluation préalable du risque de représailles, en particulier pour les personnes en situation de plus grande vulnérabilité, et adoption des mesures de protection nécessaires, le cas échéant avec l’appui de tiers indépendants.</w:t>
      </w:r>
      <w:r w:rsidDel="00000000" w:rsidR="00000000" w:rsidRPr="00000000">
        <w:rPr>
          <w:rtl w:val="0"/>
        </w:rPr>
      </w:r>
    </w:p>
    <w:p w:rsidR="00000000" w:rsidDel="00000000" w:rsidP="00000000" w:rsidRDefault="00000000" w:rsidRPr="00000000" w14:paraId="0000001D">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Instruction : audition de l’auteur du signalement s’il le demande, collecte de documents, audition des personnes impliquées dans le respect du contradictoire. La personne concernée est informée des griefs, des mesures applicables et de son droit de présenter des observations et des documents avant toute décision.</w:t>
      </w:r>
      <w:r w:rsidDel="00000000" w:rsidR="00000000" w:rsidRPr="00000000">
        <w:rPr>
          <w:rtl w:val="0"/>
        </w:rPr>
      </w:r>
    </w:p>
    <w:p w:rsidR="00000000" w:rsidDel="00000000" w:rsidP="00000000" w:rsidRDefault="00000000" w:rsidRPr="00000000" w14:paraId="0000001E">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Mesures provisoires, adoptées immédiatement lorsqu’il est nécessaire de protéger l’auteur du signalement ou l’intégrité de l’instruction : séparation fonctionnelle des personnes impliquées, suspension de l’acte préjudiciable, mise à pied conservatoire, gel des commandes auprès du fournisseur concerné.</w:t>
      </w:r>
      <w:r w:rsidDel="00000000" w:rsidR="00000000" w:rsidRPr="00000000">
        <w:rPr>
          <w:rtl w:val="0"/>
        </w:rPr>
      </w:r>
    </w:p>
    <w:p w:rsidR="00000000" w:rsidDel="00000000" w:rsidP="00000000" w:rsidRDefault="00000000" w:rsidRPr="00000000" w14:paraId="0000001F">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Retour sur l’issue et sur les actions entreprises : dans les 3 mois suivant l’accusé de réception. Si l’instruction nécessite plus de temps, l’auteur du signalement est informé de l’état d’avancement et du nouveau délai prévu.</w:t>
      </w:r>
      <w:r w:rsidDel="00000000" w:rsidR="00000000" w:rsidRPr="00000000">
        <w:rPr>
          <w:rtl w:val="0"/>
        </w:rPr>
      </w:r>
    </w:p>
    <w:p w:rsidR="00000000" w:rsidDel="00000000" w:rsidP="00000000" w:rsidRDefault="00000000" w:rsidRPr="00000000" w14:paraId="00000020">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Définition des actions correctives et de réparation, avec désignation d’un responsable et d’une échéance, et vérification de leur mise en œuvre.</w:t>
      </w:r>
      <w:r w:rsidDel="00000000" w:rsidR="00000000" w:rsidRPr="00000000">
        <w:rPr>
          <w:rtl w:val="0"/>
        </w:rPr>
      </w:r>
    </w:p>
    <w:p w:rsidR="00000000" w:rsidDel="00000000" w:rsidP="00000000" w:rsidRDefault="00000000" w:rsidRPr="00000000" w14:paraId="00000021">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7. Facilitation de la résolution, clôture et vérification</w:t>
      </w:r>
    </w:p>
    <w:p w:rsidR="00000000" w:rsidDel="00000000" w:rsidP="00000000" w:rsidRDefault="00000000" w:rsidRPr="00000000" w14:paraId="00000022">
      <w:pPr>
        <w:spacing w:after="120" w:line="276" w:lineRule="auto"/>
        <w:jc w:val="both"/>
        <w:rPr/>
      </w:pPr>
      <w:r w:rsidDel="00000000" w:rsidR="00000000" w:rsidRPr="00000000">
        <w:rPr>
          <w:rFonts w:ascii="Calibri" w:cs="Calibri" w:eastAsia="Calibri" w:hAnsi="Calibri"/>
          <w:color w:val="000000"/>
          <w:sz w:val="21"/>
          <w:szCs w:val="21"/>
          <w:rtl w:val="0"/>
        </w:rPr>
        <w:t xml:space="preserve">Lorsque la question peut être réglée et que les parties y consentent, le Gestionnaire peut activer une intervention de facilitation ou de médiation conduite par un tiers impartial : une personne interne non impliquée ou un professionnel externe. Ce parcours ne suspend ni ne remplace les obligations d’investigation et l’application des conséquences prévues par la Politique de protection des lanceurs d’alerte.</w:t>
      </w:r>
      <w:r w:rsidDel="00000000" w:rsidR="00000000" w:rsidRPr="00000000">
        <w:rPr>
          <w:rtl w:val="0"/>
        </w:rPr>
      </w:r>
    </w:p>
    <w:p w:rsidR="00000000" w:rsidDel="00000000" w:rsidP="00000000" w:rsidRDefault="00000000" w:rsidRPr="00000000" w14:paraId="00000023">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L’instruction se clôt par un procès-verbal motivé indiquant les faits établis, les mesures correctives et de réparation adoptées, le responsable de leur mise en œuvre et les délais prévus.</w:t>
      </w:r>
      <w:r w:rsidDel="00000000" w:rsidR="00000000" w:rsidRPr="00000000">
        <w:rPr>
          <w:rtl w:val="0"/>
        </w:rPr>
      </w:r>
    </w:p>
    <w:p w:rsidR="00000000" w:rsidDel="00000000" w:rsidP="00000000" w:rsidRDefault="00000000" w:rsidRPr="00000000" w14:paraId="00000024">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L’issue est communiquée à l’auteur du signalement et à la personne concernée, dans les limites permises par la confidentialité et par la réglementation.</w:t>
      </w:r>
      <w:r w:rsidDel="00000000" w:rsidR="00000000" w:rsidRPr="00000000">
        <w:rPr>
          <w:rtl w:val="0"/>
        </w:rPr>
      </w:r>
    </w:p>
    <w:p w:rsidR="00000000" w:rsidDel="00000000" w:rsidP="00000000" w:rsidRDefault="00000000" w:rsidRPr="00000000" w14:paraId="00000025">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La mise en œuvre effective des mesures est vérifiée 3 et 6 mois après la clôture, avec annotation dans le registre des signalements et information de l’organe d’administration.</w:t>
      </w:r>
      <w:r w:rsidDel="00000000" w:rsidR="00000000" w:rsidRPr="00000000">
        <w:rPr>
          <w:rtl w:val="0"/>
        </w:rPr>
      </w:r>
    </w:p>
    <w:p w:rsidR="00000000" w:rsidDel="00000000" w:rsidP="00000000" w:rsidRDefault="00000000" w:rsidRPr="00000000" w14:paraId="00000026">
      <w:pPr>
        <w:numPr>
          <w:ilvl w:val="0"/>
          <w:numId w:val="1"/>
        </w:numPr>
        <w:spacing w:after="70" w:line="276" w:lineRule="auto"/>
        <w:ind w:left="431" w:hanging="259"/>
        <w:jc w:val="both"/>
        <w:rPr/>
      </w:pPr>
      <w:r w:rsidDel="00000000" w:rsidR="00000000" w:rsidRPr="00000000">
        <w:rPr>
          <w:rFonts w:ascii="Calibri" w:cs="Calibri" w:eastAsia="Calibri" w:hAnsi="Calibri"/>
          <w:color w:val="000000"/>
          <w:sz w:val="21"/>
          <w:szCs w:val="21"/>
          <w:rtl w:val="0"/>
        </w:rPr>
        <w:t xml:space="preserve">Le type et la graduation des conséquences applicables à chaque partie prenante — salariés, collaborateurs, organes sociaux, fournisseurs, clients — sont définis au point 4 de la Politique de protection des lanceurs d’alerte.</w:t>
      </w:r>
      <w:r w:rsidDel="00000000" w:rsidR="00000000" w:rsidRPr="00000000">
        <w:rPr>
          <w:rtl w:val="0"/>
        </w:rPr>
      </w:r>
    </w:p>
    <w:p w:rsidR="00000000" w:rsidDel="00000000" w:rsidP="00000000" w:rsidRDefault="00000000" w:rsidRPr="00000000" w14:paraId="00000027">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8. Confidentialité et gestion documentaire</w:t>
      </w:r>
    </w:p>
    <w:p w:rsidR="00000000" w:rsidDel="00000000" w:rsidP="00000000" w:rsidRDefault="00000000" w:rsidRPr="00000000" w14:paraId="00000028">
      <w:pPr>
        <w:spacing w:after="120" w:line="276" w:lineRule="auto"/>
        <w:jc w:val="both"/>
        <w:rPr/>
      </w:pPr>
      <w:r w:rsidDel="00000000" w:rsidR="00000000" w:rsidRPr="00000000">
        <w:rPr>
          <w:rFonts w:ascii="Calibri" w:cs="Calibri" w:eastAsia="Calibri" w:hAnsi="Calibri"/>
          <w:color w:val="000000"/>
          <w:sz w:val="21"/>
          <w:szCs w:val="21"/>
          <w:rtl w:val="0"/>
        </w:rPr>
        <w:t xml:space="preserve">L’identité de l’auteur du signalement et toute information susceptible de la révéler sont couvertes par la confidentialité et accessibles au seul Gestionnaire des signalements ; la divulgation à des tiers n’intervient qu’avec le consentement de l’intéressé ou dans les cas imposés par la loi, et l’intéressé est informé avant tout partage nécessaire. Dans les communications internes, les données identifiantes sont masquées. La documentation est conservée dans une archive protégée, avec accès tracé, pendant la durée nécessaire à la gestion et en tout état de cause dans les limites prévues par la réglementation sur la protection des données personnelles.</w:t>
      </w:r>
      <w:r w:rsidDel="00000000" w:rsidR="00000000" w:rsidRPr="00000000">
        <w:rPr>
          <w:rtl w:val="0"/>
        </w:rPr>
      </w:r>
    </w:p>
    <w:p w:rsidR="00000000" w:rsidDel="00000000" w:rsidP="00000000" w:rsidRDefault="00000000" w:rsidRPr="00000000" w14:paraId="00000029">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9. Signalement des représailles</w:t>
      </w:r>
    </w:p>
    <w:p w:rsidR="00000000" w:rsidDel="00000000" w:rsidP="00000000" w:rsidRDefault="00000000" w:rsidRPr="00000000" w14:paraId="0000002A">
      <w:pPr>
        <w:spacing w:after="120" w:line="276" w:lineRule="auto"/>
        <w:jc w:val="both"/>
        <w:rPr>
          <w:rFonts w:ascii="Calibri" w:cs="Calibri" w:eastAsia="Calibri" w:hAnsi="Calibri"/>
          <w:sz w:val="21"/>
          <w:szCs w:val="21"/>
        </w:rPr>
      </w:pPr>
      <w:r w:rsidDel="00000000" w:rsidR="00000000" w:rsidRPr="00000000">
        <w:rPr>
          <w:rFonts w:ascii="Calibri" w:cs="Calibri" w:eastAsia="Calibri" w:hAnsi="Calibri"/>
          <w:color w:val="000000"/>
          <w:sz w:val="21"/>
          <w:szCs w:val="21"/>
          <w:rtl w:val="0"/>
        </w:rPr>
        <w:t xml:space="preserve">Toutes les formes de représailles, même seulement tentées, à l’encontre de la personne qui effectue un signalement de bonne foi, de celles qui y collaborent et des personnes qui lui sont liées sont interdites et sanctionnées. Les représailles présumées peuvent être signalées par les mêmes canaux indiqués au point 4 et sont traitées en priorité, avec adoption immédiate des mesures de protection nécessaires. En cas d’acte préjudiciable subi par l’auteur du signalement après celui-ci, il incombe à l’entreprise de démontrer que cet acte est motivé par des raisons étrangères au signalement. Les comportements interdits, les protections garanties et les conséquences applicables sont décrits dans la Politique de protection des lanceurs d’alerte, </w:t>
      </w:r>
      <w:r w:rsidDel="00000000" w:rsidR="00000000" w:rsidRPr="00000000">
        <w:rPr>
          <w:rFonts w:ascii="Calibri" w:cs="Calibri" w:eastAsia="Calibri" w:hAnsi="Calibri"/>
          <w:sz w:val="21"/>
          <w:szCs w:val="21"/>
          <w:rtl w:val="0"/>
        </w:rPr>
        <w:t xml:space="preserve">disponible à l’adresse </w:t>
      </w:r>
      <w:hyperlink r:id="rId9">
        <w:r w:rsidDel="00000000" w:rsidR="00000000" w:rsidRPr="00000000">
          <w:rPr>
            <w:rFonts w:ascii="Calibri" w:cs="Calibri" w:eastAsia="Calibri" w:hAnsi="Calibri"/>
            <w:color w:val="1155cc"/>
            <w:sz w:val="21"/>
            <w:szCs w:val="21"/>
            <w:u w:val="single"/>
            <w:rtl w:val="0"/>
          </w:rPr>
          <w:t xml:space="preserve">https://www.artegrafstampa.it/wp-content/uploads/Politique-protection-lanceurs-alerte_FR.docx</w:t>
        </w:r>
      </w:hyperlink>
      <w:r w:rsidDel="00000000" w:rsidR="00000000" w:rsidRPr="00000000">
        <w:rPr>
          <w:rFonts w:ascii="Calibri" w:cs="Calibri" w:eastAsia="Calibri" w:hAnsi="Calibri"/>
          <w:color w:val="000000"/>
          <w:sz w:val="21"/>
          <w:szCs w:val="21"/>
          <w:rtl w:val="0"/>
        </w:rPr>
        <w:t xml:space="preserve">, qui fait partie intégrante de la présente procédure.</w:t>
      </w:r>
      <w:r w:rsidDel="00000000" w:rsidR="00000000" w:rsidRPr="00000000">
        <w:rPr>
          <w:rtl w:val="0"/>
        </w:rPr>
      </w:r>
    </w:p>
    <w:p w:rsidR="00000000" w:rsidDel="00000000" w:rsidP="00000000" w:rsidRDefault="00000000" w:rsidRPr="00000000" w14:paraId="0000002B">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10. Canal externe et divulgation publique</w:t>
      </w:r>
    </w:p>
    <w:p w:rsidR="00000000" w:rsidDel="00000000" w:rsidP="00000000" w:rsidRDefault="00000000" w:rsidRPr="00000000" w14:paraId="0000002C">
      <w:pPr>
        <w:spacing w:after="120" w:line="276" w:lineRule="auto"/>
        <w:jc w:val="both"/>
        <w:rPr/>
      </w:pPr>
      <w:r w:rsidDel="00000000" w:rsidR="00000000" w:rsidRPr="00000000">
        <w:rPr>
          <w:rFonts w:ascii="Calibri" w:cs="Calibri" w:eastAsia="Calibri" w:hAnsi="Calibri"/>
          <w:color w:val="000000"/>
          <w:sz w:val="21"/>
          <w:szCs w:val="21"/>
          <w:rtl w:val="0"/>
        </w:rPr>
        <w:t xml:space="preserve">La présente procédure ne limite pas le droit de s’adresser au canal externe de signalement institué et géré par l’Autorité nationale anticorruption italienne (ANAC) au sens du décret législatif 24/2023, accessible depuis la plateforme dédiée sur le site www.anticorruzione.it. Ce canal a une nature subsidiaire : la réglementation privilégie le canal interne et admet le recours à l’ANAC dans les cas prévus par le décret, notamment l’absence ou la non-conformité du canal interne, l’absence de mesures adéquates à la suite du signalement, la crainte fondée de représailles ou le danger imminent ou manifeste pour l’intérêt public. La divulgation publique n’est admise que dans les conditions limitativement prévues par la réglementation.</w:t>
      </w:r>
      <w:r w:rsidDel="00000000" w:rsidR="00000000" w:rsidRPr="00000000">
        <w:rPr>
          <w:rtl w:val="0"/>
        </w:rPr>
      </w:r>
    </w:p>
    <w:p w:rsidR="00000000" w:rsidDel="00000000" w:rsidP="00000000" w:rsidRDefault="00000000" w:rsidRPr="00000000" w14:paraId="0000002D">
      <w:pPr>
        <w:spacing w:after="120" w:line="276" w:lineRule="auto"/>
        <w:jc w:val="both"/>
        <w:rPr/>
      </w:pPr>
      <w:r w:rsidDel="00000000" w:rsidR="00000000" w:rsidRPr="00000000">
        <w:rPr>
          <w:rFonts w:ascii="Calibri" w:cs="Calibri" w:eastAsia="Calibri" w:hAnsi="Calibri"/>
          <w:color w:val="000000"/>
          <w:sz w:val="21"/>
          <w:szCs w:val="21"/>
          <w:rtl w:val="0"/>
        </w:rPr>
        <w:t xml:space="preserve">Les protections prévues par la Politique de protection des lanceurs d’alerte s’appliquent intégralement à toute personne qui utilise le canal externe ou procède à une divulgation publique dans les cas autorisés. L’entreprise s’engage à maintenir son canal interne efficace et accessible, afin que le recours au canal externe reste une option et non une nécessité.</w:t>
      </w:r>
      <w:r w:rsidDel="00000000" w:rsidR="00000000" w:rsidRPr="00000000">
        <w:rPr>
          <w:rtl w:val="0"/>
        </w:rPr>
      </w:r>
    </w:p>
    <w:p w:rsidR="00000000" w:rsidDel="00000000" w:rsidP="00000000" w:rsidRDefault="00000000" w:rsidRPr="00000000" w14:paraId="0000002E">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11. Registre, formation, réexamen et transparence</w:t>
      </w:r>
    </w:p>
    <w:p w:rsidR="00000000" w:rsidDel="00000000" w:rsidP="00000000" w:rsidRDefault="00000000" w:rsidRPr="00000000" w14:paraId="0000002F">
      <w:pPr>
        <w:spacing w:after="120" w:line="276" w:lineRule="auto"/>
        <w:jc w:val="both"/>
        <w:rPr/>
      </w:pPr>
      <w:r w:rsidDel="00000000" w:rsidR="00000000" w:rsidRPr="00000000">
        <w:rPr>
          <w:rFonts w:ascii="Calibri" w:cs="Calibri" w:eastAsia="Calibri" w:hAnsi="Calibri"/>
          <w:color w:val="000000"/>
          <w:sz w:val="21"/>
          <w:szCs w:val="21"/>
          <w:rtl w:val="0"/>
        </w:rPr>
        <w:t xml:space="preserve">Le Gestionnaire tient un registre confidentiel des signalements reçus, de leurs issues et des actions correctives. Au moins une fois par an, une synthèse agrégée et anonyme est établie à l’intention de l’organe de gouvernance, utile pour identifier les causes récurrentes et les améliorations de processus.</w:t>
      </w:r>
      <w:r w:rsidDel="00000000" w:rsidR="00000000" w:rsidRPr="00000000">
        <w:rPr>
          <w:rtl w:val="0"/>
        </w:rPr>
      </w:r>
    </w:p>
    <w:p w:rsidR="00000000" w:rsidDel="00000000" w:rsidP="00000000" w:rsidRDefault="00000000" w:rsidRPr="00000000" w14:paraId="00000030">
      <w:pPr>
        <w:spacing w:after="120" w:line="276" w:lineRule="auto"/>
        <w:jc w:val="both"/>
        <w:rPr/>
      </w:pPr>
      <w:r w:rsidDel="00000000" w:rsidR="00000000" w:rsidRPr="00000000">
        <w:rPr>
          <w:rFonts w:ascii="Calibri" w:cs="Calibri" w:eastAsia="Calibri" w:hAnsi="Calibri"/>
          <w:color w:val="000000"/>
          <w:sz w:val="21"/>
          <w:szCs w:val="21"/>
          <w:rtl w:val="0"/>
        </w:rPr>
        <w:t xml:space="preserve">Les personnes qui gèrent les signalements reçoivent une formation spécifique sur la confidentialité, l’impartialité et la gestion des conflits d’intérêts ; l’ensemble de l’organisation est informé de l’existence des canaux et des protections, et les parties prenantes externes en sont informées conformément au point 4.6 de la Politique de protection des lanceurs d’alerte. La présente procédure est publiée sur le site de l’entreprise et réexaminée au moins tous les deux ans ou en cas d’évolution du contexte réglementaire et organisationnel.</w:t>
      </w:r>
      <w:r w:rsidDel="00000000" w:rsidR="00000000" w:rsidRPr="00000000">
        <w:rPr>
          <w:rtl w:val="0"/>
        </w:rPr>
      </w:r>
    </w:p>
    <w:p w:rsidR="00000000" w:rsidDel="00000000" w:rsidP="00000000" w:rsidRDefault="00000000" w:rsidRPr="00000000" w14:paraId="00000031">
      <w:pPr>
        <w:spacing w:after="90" w:before="240" w:lineRule="auto"/>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12. Approbation</w:t>
      </w:r>
    </w:p>
    <w:p w:rsidR="00000000" w:rsidDel="00000000" w:rsidP="00000000" w:rsidRDefault="00000000" w:rsidRPr="00000000" w14:paraId="00000032">
      <w:pPr>
        <w:spacing w:after="120"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Approuvée par l’organe d’administration le 10 septembre 2026. Responsable du réexamen : Lorenzo Bambini.</w:t>
      </w:r>
    </w:p>
    <w:p w:rsidR="00000000" w:rsidDel="00000000" w:rsidP="00000000" w:rsidRDefault="00000000" w:rsidRPr="00000000" w14:paraId="00000033">
      <w:pPr>
        <w:rPr>
          <w:sz w:val="24"/>
          <w:szCs w:val="24"/>
        </w:rPr>
      </w:pPr>
      <w:r w:rsidDel="00000000" w:rsidR="00000000" w:rsidRPr="00000000">
        <w:rPr>
          <w:rtl w:val="0"/>
        </w:rPr>
        <w:tab/>
        <w:tab/>
        <w:tab/>
        <w:tab/>
        <w:tab/>
        <w:tab/>
        <w:tab/>
        <w:tab/>
        <w:t xml:space="preserve">    </w:t>
        <w:tab/>
      </w:r>
      <w:r w:rsidDel="00000000" w:rsidR="00000000" w:rsidRPr="00000000">
        <w:rPr>
          <w:rtl w:val="0"/>
        </w:rPr>
      </w:r>
    </w:p>
    <w:sectPr>
      <w:headerReference r:id="rId10" w:type="default"/>
      <w:footerReference r:id="rId11" w:type="default"/>
      <w:pgSz w:h="16838" w:w="11906" w:orient="portrait"/>
      <w:pgMar w:bottom="1134" w:top="1417" w:left="1134" w:right="386" w:header="708" w:footer="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Helvetica Neue">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pageBreakBefore w:val="0"/>
      <w:widowControl w:val="1"/>
      <w:pBdr>
        <w:top w:space="0" w:sz="0" w:val="nil"/>
        <w:left w:space="0" w:sz="0" w:val="nil"/>
        <w:bottom w:color="000000" w:space="1" w:sz="6" w:val="single"/>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Artegraf s.r.l.</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06011 – Città di Castello – Perugia – Italy – Via Vittorini, 20/b loc. Cerbara</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Tel. 075.851.11.41 Fax 075.851.90.35 - e.Mail: </w:t>
    </w:r>
    <w:hyperlink r:id="rId2">
      <w:r w:rsidDel="00000000" w:rsidR="00000000" w:rsidRPr="00000000">
        <w:rPr>
          <w:rFonts w:ascii="Helvetica Neue" w:cs="Helvetica Neue" w:eastAsia="Helvetica Neue" w:hAnsi="Helvetica Neue"/>
          <w:b w:val="0"/>
          <w:bCs w:val="0"/>
          <w:i w:val="0"/>
          <w:iCs w:val="0"/>
          <w:smallCaps w:val="0"/>
          <w:strike w:val="0"/>
          <w:color w:val="000000"/>
          <w:sz w:val="20"/>
          <w:szCs w:val="20"/>
          <w:u w:val="single"/>
          <w:shd w:fill="auto" w:val="clear"/>
          <w:vertAlign w:val="baseline"/>
          <w:rtl w:val="0"/>
        </w:rPr>
        <w:t xml:space="preserve">info@artegrafstampa.it</w:t>
      </w:r>
    </w:hyperlink>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 </w:t>
    </w:r>
    <w:hyperlink r:id="rId3">
      <w:r w:rsidDel="00000000" w:rsidR="00000000" w:rsidRPr="00000000">
        <w:rPr>
          <w:rFonts w:ascii="Helvetica Neue" w:cs="Helvetica Neue" w:eastAsia="Helvetica Neue" w:hAnsi="Helvetica Neue"/>
          <w:b w:val="0"/>
          <w:bCs w:val="0"/>
          <w:i w:val="0"/>
          <w:iCs w:val="0"/>
          <w:smallCaps w:val="0"/>
          <w:strike w:val="0"/>
          <w:color w:val="000000"/>
          <w:sz w:val="20"/>
          <w:szCs w:val="20"/>
          <w:u w:val="single"/>
          <w:shd w:fill="auto" w:val="clear"/>
          <w:vertAlign w:val="baseline"/>
          <w:rtl w:val="0"/>
        </w:rPr>
        <w:t xml:space="preserve">www.artegrafstampa.it</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Immagine 1" style="width:494.25pt;height:126pt;visibility:visible;mso-wrap-style:square" o:spid="_x0000_i1025" type="#_x0000_t75">
          <v:imagedata cropbottom="-3f" cropleft="-1f" cropright="-1f" croptop="-3f" r:id="rId1" o:title=""/>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31" w:hanging="259"/>
      </w:pPr>
      <w:rPr>
        <w:rFonts w:ascii="Noto Sans Symbols" w:cs="Noto Sans Symbols" w:eastAsia="Noto Sans Symbols" w:hAnsi="Noto Sans Symbols"/>
      </w:rPr>
    </w:lvl>
    <w:lvl w:ilvl="1">
      <w:start w:val="1"/>
      <w:numFmt w:val="bullet"/>
      <w:lvlText w:val="−"/>
      <w:lvlJc w:val="left"/>
      <w:pPr>
        <w:ind w:left="863" w:hanging="259"/>
      </w:pPr>
      <w:rPr>
        <w:rFonts w:ascii="Noto Sans Symbols" w:cs="Noto Sans Symbols" w:eastAsia="Noto Sans Symbols" w:hAnsi="Noto Sans Symbols"/>
      </w:rPr>
    </w:lvl>
    <w:lvl w:ilvl="2">
      <w:start w:val="1"/>
      <w:numFmt w:val="bullet"/>
      <w:lvlText w:val="←"/>
      <w:lvlJc w:val="left"/>
      <w:pPr>
        <w:ind w:left="0" w:firstLine="0"/>
      </w:pPr>
      <w:rPr>
        <w:rFonts w:ascii="Noto Sans Symbols" w:cs="Noto Sans Symbols" w:eastAsia="Noto Sans Symbols" w:hAnsi="Noto Sans Symbols"/>
      </w:rPr>
    </w:lvl>
    <w:lvl w:ilvl="3">
      <w:start w:val="1"/>
      <w:numFmt w:val="bullet"/>
      <w:lvlText w:val="←"/>
      <w:lvlJc w:val="left"/>
      <w:pPr>
        <w:ind w:left="0" w:firstLine="0"/>
      </w:pPr>
      <w:rPr>
        <w:rFonts w:ascii="Noto Sans Symbols" w:cs="Noto Sans Symbols" w:eastAsia="Noto Sans Symbols" w:hAnsi="Noto Sans Symbols"/>
      </w:rPr>
    </w:lvl>
    <w:lvl w:ilvl="4">
      <w:start w:val="1"/>
      <w:numFmt w:val="bullet"/>
      <w:lvlText w:val="←"/>
      <w:lvlJc w:val="left"/>
      <w:pPr>
        <w:ind w:left="0" w:firstLine="0"/>
      </w:pPr>
      <w:rPr>
        <w:rFonts w:ascii="Noto Sans Symbols" w:cs="Noto Sans Symbols" w:eastAsia="Noto Sans Symbols" w:hAnsi="Noto Sans Symbols"/>
      </w:rPr>
    </w:lvl>
    <w:lvl w:ilvl="5">
      <w:start w:val="1"/>
      <w:numFmt w:val="bullet"/>
      <w:lvlText w:val="←"/>
      <w:lvlJc w:val="left"/>
      <w:pPr>
        <w:ind w:left="0" w:firstLine="0"/>
      </w:pPr>
      <w:rPr>
        <w:rFonts w:ascii="Noto Sans Symbols" w:cs="Noto Sans Symbols" w:eastAsia="Noto Sans Symbols" w:hAnsi="Noto Sans Symbols"/>
      </w:rPr>
    </w:lvl>
    <w:lvl w:ilvl="6">
      <w:start w:val="1"/>
      <w:numFmt w:val="bullet"/>
      <w:lvlText w:val="←"/>
      <w:lvlJc w:val="left"/>
      <w:pPr>
        <w:ind w:left="0" w:firstLine="0"/>
      </w:pPr>
      <w:rPr>
        <w:rFonts w:ascii="Noto Sans Symbols" w:cs="Noto Sans Symbols" w:eastAsia="Noto Sans Symbols" w:hAnsi="Noto Sans Symbols"/>
      </w:rPr>
    </w:lvl>
    <w:lvl w:ilvl="7">
      <w:start w:val="1"/>
      <w:numFmt w:val="bullet"/>
      <w:lvlText w:val="←"/>
      <w:lvlJc w:val="left"/>
      <w:pPr>
        <w:ind w:left="0" w:firstLine="0"/>
      </w:pPr>
      <w:rPr>
        <w:rFonts w:ascii="Noto Sans Symbols" w:cs="Noto Sans Symbols" w:eastAsia="Noto Sans Symbols" w:hAnsi="Noto Sans Symbols"/>
      </w:rPr>
    </w:lvl>
    <w:lvl w:ilvl="8">
      <w:start w:val="1"/>
      <w:numFmt w:val="bullet"/>
      <w:lvlText w:val="←"/>
      <w:lvlJc w:val="left"/>
      <w:pPr>
        <w:ind w:left="0" w:firstLine="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0" w:firstLine="0"/>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Collegamentoipertestuale">
    <w:name w:val="Hyperlink"/>
    <w:rPr>
      <w:color w:val="0000ff"/>
      <w:u w:val="single"/>
    </w:rPr>
  </w:style>
  <w:style w:type="paragraph" w:styleId="Heading" w:customStyle="1">
    <w:name w:val="Heading"/>
    <w:basedOn w:val="Normale"/>
    <w:next w:val="Corpotesto"/>
    <w:qFormat w:val="1"/>
    <w:pPr>
      <w:keepNext w:val="1"/>
      <w:spacing w:after="120" w:before="240"/>
    </w:pPr>
    <w:rPr>
      <w:rFonts w:ascii="Liberation Sans" w:cs="FreeSans" w:eastAsia="Noto Sans CJK SC" w:hAnsi="Liberation Sans"/>
      <w:sz w:val="28"/>
      <w:szCs w:val="28"/>
    </w:rPr>
  </w:style>
  <w:style w:type="paragraph" w:styleId="Corpotesto">
    <w:name w:val="Body Text"/>
    <w:basedOn w:val="Normale"/>
    <w:pPr>
      <w:spacing w:after="140" w:line="276" w:lineRule="auto"/>
    </w:pPr>
  </w:style>
  <w:style w:type="paragraph" w:styleId="Elenco">
    <w:name w:val="List"/>
    <w:basedOn w:val="Corpotesto"/>
    <w:rPr>
      <w:rFonts w:cs="FreeSans"/>
    </w:rPr>
  </w:style>
  <w:style w:type="paragraph" w:styleId="Didascalia">
    <w:name w:val="caption"/>
    <w:basedOn w:val="Normale"/>
    <w:qFormat w:val="1"/>
    <w:pPr>
      <w:suppressLineNumbers w:val="1"/>
      <w:spacing w:after="120" w:before="120"/>
    </w:pPr>
    <w:rPr>
      <w:rFonts w:cs="FreeSans"/>
      <w:i w:val="1"/>
      <w:iCs w:val="1"/>
      <w:sz w:val="24"/>
      <w:szCs w:val="24"/>
    </w:rPr>
  </w:style>
  <w:style w:type="paragraph" w:styleId="Index" w:customStyle="1">
    <w:name w:val="Index"/>
    <w:basedOn w:val="Normale"/>
    <w:qFormat w:val="1"/>
    <w:pPr>
      <w:suppressLineNumbers w:val="1"/>
    </w:pPr>
    <w:rPr>
      <w:rFonts w:cs="FreeSans"/>
    </w:rPr>
  </w:style>
  <w:style w:type="paragraph" w:styleId="HeaderandFooter" w:customStyle="1">
    <w:name w:val="Header and Footer"/>
    <w:basedOn w:val="Normale"/>
    <w:qFormat w:val="1"/>
    <w:pPr>
      <w:suppressLineNumbers w:val="1"/>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numbering" w:styleId="WW8Num1" w:customStyle="1">
    <w:name w:val="WW8Num1"/>
    <w:qFormat w:val="1"/>
  </w:style>
  <w:style w:type="character" w:styleId="Menzionenonrisolta">
    <w:name w:val="Unresolved Mention"/>
    <w:uiPriority w:val="99"/>
    <w:semiHidden w:val="1"/>
    <w:unhideWhenUsed w:val="1"/>
    <w:rsid w:val="004D644D"/>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artegrafstampa.it/wp-content/uploads/Politique-protection-lanceurs-alerte_FR.docx"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www.artegrafstampa.it/fr/procedure-de-gestion-des-signalements/"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HelveticaNeue-regular.ttf"/><Relationship Id="rId3" Type="http://schemas.openxmlformats.org/officeDocument/2006/relationships/font" Target="fonts/HelveticaNeue-bold.ttf"/><Relationship Id="rId4" Type="http://schemas.openxmlformats.org/officeDocument/2006/relationships/font" Target="fonts/HelveticaNeue-italic.ttf"/><Relationship Id="rId5" Type="http://schemas.openxmlformats.org/officeDocument/2006/relationships/font" Target="fonts/HelveticaNeue-boldItalic.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2" Type="http://schemas.openxmlformats.org/officeDocument/2006/relationships/hyperlink" Target="mailto:info@artegrafstampa.it" TargetMode="External"/><Relationship Id="rId3" Type="http://schemas.openxmlformats.org/officeDocument/2006/relationships/hyperlink" Target="http://www.artegrafstamp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MW3NGKEA1YRueJupTNMf5y1e1Q==">CgMxLjA4AHIhMUVnTjY5S0ZyRmZuMFp1M29rcVh4OXNmSE0wWWlQMWZu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