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media/image1.jpeg" ContentType="image/jpeg"/>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60"/>
        <w:rPr>
          <w:rFonts w:ascii="Calibri" w:hAnsi="Calibri" w:eastAsia="Calibri" w:cs="Calibri"/>
          <w:b/>
          <w:bCs/>
          <w:sz w:val="30"/>
          <w:szCs w:val="30"/>
        </w:rPr>
      </w:pPr>
      <w:r>
        <w:rPr>
          <w:rFonts w:eastAsia="Calibri" w:cs="Calibri" w:ascii="Calibri" w:hAnsi="Calibri"/>
          <w:b/>
          <w:bCs/>
          <w:sz w:val="30"/>
          <w:szCs w:val="30"/>
        </w:rPr>
        <w:t xml:space="preserve">Whistleblower Protection Policy</w:t>
      </w:r>
    </w:p>
    <w:p>
      <w:pPr>
        <w:pStyle w:val="Normal"/>
        <w:spacing w:before="240" w:after="90"/>
        <w:rPr>
          <w:rFonts w:ascii="Calibri" w:hAnsi="Calibri" w:eastAsia="Calibri" w:cs="Calibri"/>
          <w:b/>
          <w:bCs/>
          <w:sz w:val="23"/>
          <w:szCs w:val="23"/>
        </w:rPr>
      </w:pPr>
      <w:r>
        <w:rPr>
          <w:rFonts w:eastAsia="Calibri" w:cs="Calibri" w:ascii="Calibri" w:hAnsi="Calibri"/>
          <w:b/>
          <w:bCs/>
          <w:sz w:val="23"/>
          <w:szCs w:val="23"/>
        </w:rPr>
        <w:t xml:space="preserve">1. Company commitment</w:t>
      </w:r>
    </w:p>
    <w:p>
      <w:pPr>
        <w:pStyle w:val="Normal"/>
        <w:spacing w:lineRule="auto" w:line="276" w:before="0" w:after="120"/>
        <w:jc w:val="both"/>
        <w:rPr/>
      </w:pPr>
      <w:r>
        <w:rPr>
          <w:rFonts w:eastAsia="Calibri" w:cs="Calibri" w:ascii="Calibri" w:hAnsi="Calibri"/>
          <w:sz w:val="21"/>
          <w:szCs w:val="21"/>
        </w:rPr>
        <w:t xml:space="preserve">Artegraf S.r.l. regards the possibility of freely reporting improper conduct as an essential element of its organisational culture and of its responsibility towards its people, customers, suppliers and the community. The company formally undertakes to protect from any form of retaliation anyone who makes a report in good faith, regardless of whether the report is subsequently found to be substantiated.</w:t>
      </w:r>
    </w:p>
    <w:p>
      <w:pPr>
        <w:pStyle w:val="Normal"/>
        <w:spacing w:before="240" w:after="90"/>
        <w:rPr>
          <w:rFonts w:ascii="Calibri" w:hAnsi="Calibri" w:eastAsia="Calibri" w:cs="Calibri"/>
          <w:b/>
          <w:bCs/>
          <w:sz w:val="23"/>
          <w:szCs w:val="23"/>
        </w:rPr>
      </w:pPr>
      <w:r>
        <w:rPr>
          <w:rFonts w:eastAsia="Calibri" w:cs="Calibri" w:ascii="Calibri" w:hAnsi="Calibri"/>
          <w:b/>
          <w:bCs/>
          <w:sz w:val="23"/>
          <w:szCs w:val="23"/>
        </w:rPr>
        <w:t xml:space="preserve">2. Who is covered</w:t>
      </w:r>
    </w:p>
    <w:p>
      <w:pPr>
        <w:pStyle w:val="Normal"/>
        <w:spacing w:lineRule="auto" w:line="276" w:before="0" w:after="120"/>
        <w:jc w:val="both"/>
        <w:rPr>
          <w:rFonts w:ascii="Calibri" w:hAnsi="Calibri" w:eastAsia="Calibri" w:cs="Calibri"/>
          <w:sz w:val="21"/>
          <w:szCs w:val="21"/>
        </w:rPr>
      </w:pPr>
      <w:r>
        <w:rPr>
          <w:rFonts w:eastAsia="Calibri" w:cs="Calibri" w:ascii="Calibri" w:hAnsi="Calibri"/>
          <w:sz w:val="21"/>
          <w:szCs w:val="21"/>
        </w:rPr>
        <w:t xml:space="preserve">Protection extends to:</w:t>
      </w:r>
    </w:p>
    <w:p>
      <w:pPr>
        <w:pStyle w:val="Normal"/>
        <w:numPr>
          <w:ilvl w:val="0"/>
          <w:numId w:val="2"/>
        </w:numPr>
        <w:spacing w:lineRule="auto" w:line="276" w:before="0" w:after="70"/>
        <w:rPr/>
      </w:pPr>
      <w:r>
        <w:rPr>
          <w:rFonts w:eastAsia="Calibri" w:cs="Calibri" w:ascii="Calibri" w:hAnsi="Calibri"/>
          <w:color w:val="000000"/>
          <w:sz w:val="21"/>
          <w:szCs w:val="21"/>
        </w:rPr>
        <w:t xml:space="preserve">the person making the report (workers, collaborators, interns, shareholders, members of corporate bodies, customers, suppliers and their employees, other stakeholders);</w:t>
      </w:r>
    </w:p>
    <w:p>
      <w:pPr>
        <w:pStyle w:val="Normal"/>
        <w:numPr>
          <w:ilvl w:val="0"/>
          <w:numId w:val="2"/>
        </w:numPr>
        <w:spacing w:lineRule="auto" w:line="276" w:before="0" w:after="70"/>
        <w:rPr/>
      </w:pPr>
      <w:r>
        <w:rPr>
          <w:rFonts w:eastAsia="Calibri" w:cs="Calibri" w:ascii="Calibri" w:hAnsi="Calibri"/>
          <w:color w:val="000000"/>
          <w:sz w:val="21"/>
          <w:szCs w:val="21"/>
        </w:rPr>
        <w:t xml:space="preserve">facilitators, that is, those who assist the reporting person in the process;</w:t>
      </w:r>
    </w:p>
    <w:p>
      <w:pPr>
        <w:pStyle w:val="Normal"/>
        <w:numPr>
          <w:ilvl w:val="0"/>
          <w:numId w:val="2"/>
        </w:numPr>
        <w:spacing w:lineRule="auto" w:line="276" w:before="0" w:after="70"/>
        <w:rPr/>
      </w:pPr>
      <w:r>
        <w:rPr>
          <w:rFonts w:eastAsia="Calibri" w:cs="Calibri" w:ascii="Calibri" w:hAnsi="Calibri"/>
          <w:color w:val="000000"/>
          <w:sz w:val="21"/>
          <w:szCs w:val="21"/>
        </w:rPr>
        <w:t xml:space="preserve">colleagues and relatives of the reporting person who work in the same work context;</w:t>
      </w:r>
    </w:p>
    <w:p>
      <w:pPr>
        <w:pStyle w:val="Normal"/>
        <w:numPr>
          <w:ilvl w:val="0"/>
          <w:numId w:val="2"/>
        </w:numPr>
        <w:spacing w:lineRule="auto" w:line="276" w:before="0" w:after="70"/>
        <w:rPr/>
      </w:pPr>
      <w:r>
        <w:rPr>
          <w:rFonts w:eastAsia="Calibri" w:cs="Calibri" w:ascii="Calibri" w:hAnsi="Calibri"/>
          <w:color w:val="000000"/>
          <w:sz w:val="21"/>
          <w:szCs w:val="21"/>
        </w:rPr>
        <w:t xml:space="preserve">legal entities connected to the reporting person or for which the reporting person works.</w:t>
      </w:r>
    </w:p>
    <w:p>
      <w:pPr>
        <w:pStyle w:val="Normal"/>
        <w:spacing w:before="240" w:after="90"/>
        <w:rPr>
          <w:rFonts w:ascii="Calibri" w:hAnsi="Calibri" w:eastAsia="Calibri" w:cs="Calibri"/>
          <w:b/>
          <w:bCs/>
          <w:sz w:val="23"/>
          <w:szCs w:val="23"/>
        </w:rPr>
      </w:pPr>
      <w:r>
        <w:rPr>
          <w:rFonts w:eastAsia="Calibri" w:cs="Calibri" w:ascii="Calibri" w:hAnsi="Calibri"/>
          <w:b/>
          <w:bCs/>
          <w:sz w:val="23"/>
          <w:szCs w:val="23"/>
        </w:rPr>
        <w:t xml:space="preserve">3. Prohibited retaliatory conduct</w:t>
      </w:r>
    </w:p>
    <w:p>
      <w:pPr>
        <w:pStyle w:val="Normal"/>
        <w:spacing w:lineRule="auto" w:line="276" w:before="0" w:after="120"/>
        <w:jc w:val="both"/>
        <w:rPr>
          <w:rFonts w:ascii="Calibri" w:hAnsi="Calibri" w:eastAsia="Calibri" w:cs="Calibri"/>
          <w:sz w:val="21"/>
          <w:szCs w:val="21"/>
        </w:rPr>
      </w:pPr>
      <w:r>
        <w:rPr>
          <w:rFonts w:eastAsia="Calibri" w:cs="Calibri" w:ascii="Calibri" w:hAnsi="Calibri"/>
          <w:sz w:val="21"/>
          <w:szCs w:val="21"/>
        </w:rPr>
        <w:t xml:space="preserve">Any act or omission, even merely attempted, that causes harm to the reporting person by reason of the report is prohibited. By way of example:</w:t>
      </w:r>
    </w:p>
    <w:p>
      <w:pPr>
        <w:pStyle w:val="Normal"/>
        <w:numPr>
          <w:ilvl w:val="0"/>
          <w:numId w:val="2"/>
        </w:numPr>
        <w:spacing w:lineRule="auto" w:line="276" w:before="0" w:after="70"/>
        <w:rPr/>
      </w:pPr>
      <w:r>
        <w:rPr>
          <w:rFonts w:eastAsia="Calibri" w:cs="Calibri" w:ascii="Calibri" w:hAnsi="Calibri"/>
          <w:color w:val="000000"/>
          <w:sz w:val="21"/>
          <w:szCs w:val="21"/>
        </w:rPr>
        <w:t xml:space="preserve">dismissal, suspension, non-renewal or detrimental change of the employment relationship;</w:t>
      </w:r>
    </w:p>
    <w:p>
      <w:pPr>
        <w:pStyle w:val="Normal"/>
        <w:numPr>
          <w:ilvl w:val="0"/>
          <w:numId w:val="2"/>
        </w:numPr>
        <w:spacing w:lineRule="auto" w:line="276" w:before="0" w:after="70"/>
        <w:rPr/>
      </w:pPr>
      <w:r>
        <w:rPr>
          <w:rFonts w:eastAsia="Calibri" w:cs="Calibri" w:ascii="Calibri" w:hAnsi="Calibri"/>
          <w:color w:val="000000"/>
          <w:sz w:val="21"/>
          <w:szCs w:val="21"/>
        </w:rPr>
        <w:t xml:space="preserve">demotion, transfer, change of duties or of working hours for punitive purposes;</w:t>
      </w:r>
    </w:p>
    <w:p>
      <w:pPr>
        <w:pStyle w:val="Normal"/>
        <w:numPr>
          <w:ilvl w:val="0"/>
          <w:numId w:val="2"/>
        </w:numPr>
        <w:spacing w:lineRule="auto" w:line="276" w:before="0" w:after="70"/>
        <w:rPr/>
      </w:pPr>
      <w:r>
        <w:rPr>
          <w:rFonts w:eastAsia="Calibri" w:cs="Calibri" w:ascii="Calibri" w:hAnsi="Calibri"/>
          <w:color w:val="000000"/>
          <w:sz w:val="21"/>
          <w:szCs w:val="21"/>
        </w:rPr>
        <w:t xml:space="preserve">failure to promote, reduction in pay or exclusion from training and opportunities;</w:t>
      </w:r>
    </w:p>
    <w:p>
      <w:pPr>
        <w:pStyle w:val="Normal"/>
        <w:numPr>
          <w:ilvl w:val="0"/>
          <w:numId w:val="2"/>
        </w:numPr>
        <w:spacing w:lineRule="auto" w:line="276" w:before="0" w:after="70"/>
        <w:rPr/>
      </w:pPr>
      <w:r>
        <w:rPr>
          <w:rFonts w:eastAsia="Calibri" w:cs="Calibri" w:ascii="Calibri" w:hAnsi="Calibri"/>
          <w:color w:val="000000"/>
          <w:sz w:val="21"/>
          <w:szCs w:val="21"/>
        </w:rPr>
        <w:t xml:space="preserve">negative records, pretextual disciplinary measures, unjustified negative appraisals;</w:t>
      </w:r>
    </w:p>
    <w:p>
      <w:pPr>
        <w:pStyle w:val="Normal"/>
        <w:numPr>
          <w:ilvl w:val="0"/>
          <w:numId w:val="2"/>
        </w:numPr>
        <w:spacing w:lineRule="auto" w:line="276" w:before="0" w:after="70"/>
        <w:rPr/>
      </w:pPr>
      <w:r>
        <w:rPr>
          <w:rFonts w:eastAsia="Calibri" w:cs="Calibri" w:ascii="Calibri" w:hAnsi="Calibri"/>
          <w:color w:val="000000"/>
          <w:sz w:val="21"/>
          <w:szCs w:val="21"/>
        </w:rPr>
        <w:t xml:space="preserve">isolation, marginalisation, harassment or abusive behaviour;</w:t>
      </w:r>
    </w:p>
    <w:p>
      <w:pPr>
        <w:pStyle w:val="Normal"/>
        <w:numPr>
          <w:ilvl w:val="0"/>
          <w:numId w:val="2"/>
        </w:numPr>
        <w:spacing w:lineRule="auto" w:line="276" w:before="0" w:after="70"/>
        <w:rPr/>
      </w:pPr>
      <w:r>
        <w:rPr>
          <w:rFonts w:eastAsia="Calibri" w:cs="Calibri" w:ascii="Calibri" w:hAnsi="Calibri"/>
          <w:color w:val="000000"/>
          <w:sz w:val="21"/>
          <w:szCs w:val="21"/>
        </w:rPr>
        <w:t xml:space="preserve">interruption, early termination or non-renewal of supply or collaboration contracts;</w:t>
      </w:r>
    </w:p>
    <w:p>
      <w:pPr>
        <w:pStyle w:val="Normal"/>
        <w:numPr>
          <w:ilvl w:val="0"/>
          <w:numId w:val="2"/>
        </w:numPr>
        <w:spacing w:lineRule="auto" w:line="276" w:before="0" w:after="70"/>
        <w:rPr/>
      </w:pPr>
      <w:r>
        <w:rPr>
          <w:rFonts w:eastAsia="Calibri" w:cs="Calibri" w:ascii="Calibri" w:hAnsi="Calibri"/>
          <w:color w:val="000000"/>
          <w:sz w:val="21"/>
          <w:szCs w:val="21"/>
        </w:rPr>
        <w:t xml:space="preserve">intimidation, threats or legal action taken for retaliatory purposes.</w:t>
      </w:r>
    </w:p>
    <w:p>
      <w:pPr>
        <w:pStyle w:val="Normal"/>
        <w:spacing w:before="240" w:after="90"/>
        <w:rPr>
          <w:rFonts w:ascii="Calibri" w:hAnsi="Calibri" w:eastAsia="Calibri" w:cs="Calibri"/>
          <w:b/>
          <w:bCs/>
          <w:sz w:val="23"/>
          <w:szCs w:val="23"/>
        </w:rPr>
      </w:pPr>
      <w:r>
        <w:rPr>
          <w:rFonts w:eastAsia="Calibri" w:cs="Calibri" w:ascii="Calibri" w:hAnsi="Calibri"/>
          <w:b/>
          <w:bCs/>
          <w:sz w:val="23"/>
          <w:szCs w:val="23"/>
        </w:rPr>
        <w:t xml:space="preserve">4. Remedy phase: consequences and removal of effects</w:t>
      </w:r>
    </w:p>
    <w:p>
      <w:pPr>
        <w:pStyle w:val="Normal"/>
        <w:spacing w:lineRule="auto" w:line="276" w:before="0" w:after="120"/>
        <w:jc w:val="both"/>
        <w:rPr/>
      </w:pPr>
      <w:r>
        <w:rPr>
          <w:rFonts w:eastAsia="Calibri" w:cs="Calibri" w:ascii="Calibri" w:hAnsi="Calibri"/>
          <w:color w:val="000000"/>
          <w:sz w:val="21"/>
          <w:szCs w:val="21"/>
        </w:rPr>
        <w:t xml:space="preserve">A finding of retaliatory conduct, or of any other breach of this policy, leads to proportionate consequences for those responsible and to the removal of the effects produced. The operational arrangements for handling a report — timeframes, adversarial process, interim measures, facilitation of resolution, closure and verification — are set out in the Whistleblowing Procedure (sections 6 and 7), which forms an integral part of this policy.</w:t>
      </w:r>
    </w:p>
    <w:p>
      <w:pPr>
        <w:pStyle w:val="Normal"/>
        <w:spacing w:before="180" w:after="60"/>
        <w:rPr>
          <w:rFonts w:ascii="Calibri" w:hAnsi="Calibri" w:eastAsia="Calibri" w:cs="Calibri"/>
          <w:b/>
          <w:bCs/>
          <w:sz w:val="21"/>
          <w:szCs w:val="21"/>
        </w:rPr>
      </w:pPr>
      <w:r>
        <w:rPr>
          <w:rFonts w:eastAsia="Calibri" w:cs="Calibri" w:ascii="Calibri" w:hAnsi="Calibri"/>
          <w:b/>
          <w:bCs/>
          <w:color w:val="000000"/>
          <w:sz w:val="21"/>
          <w:szCs w:val="21"/>
        </w:rPr>
        <w:t xml:space="preserve">4.1 Criteria for grading the measures</w:t>
      </w:r>
    </w:p>
    <w:p>
      <w:pPr>
        <w:pStyle w:val="Normal"/>
        <w:spacing w:lineRule="auto" w:line="276" w:before="0" w:after="120"/>
        <w:jc w:val="both"/>
        <w:rPr/>
      </w:pPr>
      <w:r>
        <w:rPr>
          <w:rFonts w:eastAsia="Calibri" w:cs="Calibri" w:ascii="Calibri" w:hAnsi="Calibri"/>
          <w:color w:val="000000"/>
          <w:sz w:val="21"/>
          <w:szCs w:val="21"/>
        </w:rPr>
        <w:t xml:space="preserve">The measure applied is proportionate and takes into account: the seriousness and repetition of the conduct, intent, the position and level of responsibility of the person concerned, the extent of the harm caused to the reporting person and to the organisation, the presence of retaliatory intent, the conduct held during the investigation and the willingness to remedy. Measures may be combined (for example a disciplinary measure together with additional training).</w:t>
      </w:r>
    </w:p>
    <w:p>
      <w:pPr>
        <w:pStyle w:val="Normal"/>
        <w:spacing w:before="180" w:after="60"/>
        <w:rPr>
          <w:rFonts w:ascii="Calibri" w:hAnsi="Calibri" w:eastAsia="Calibri" w:cs="Calibri"/>
          <w:b/>
          <w:bCs/>
          <w:sz w:val="21"/>
          <w:szCs w:val="21"/>
        </w:rPr>
      </w:pPr>
      <w:r>
        <w:rPr>
          <w:rFonts w:eastAsia="Calibri" w:cs="Calibri" w:ascii="Calibri" w:hAnsi="Calibri"/>
          <w:b/>
          <w:bCs/>
          <w:color w:val="000000"/>
          <w:sz w:val="21"/>
          <w:szCs w:val="21"/>
        </w:rPr>
        <w:t xml:space="preserve">4.2 Consequences by type of stakeholder</w:t>
      </w:r>
    </w:p>
    <w:p>
      <w:pPr>
        <w:pStyle w:val="Normal"/>
        <w:spacing w:lineRule="auto" w:line="276" w:before="0" w:after="120"/>
        <w:jc w:val="both"/>
        <w:rPr/>
      </w:pPr>
      <w:r>
        <w:rPr>
          <w:rFonts w:eastAsia="Calibri" w:cs="Calibri" w:ascii="Calibri" w:hAnsi="Calibri"/>
          <w:color w:val="000000"/>
          <w:sz w:val="21"/>
          <w:szCs w:val="21"/>
        </w:rPr>
        <w:t xml:space="preserve">The table below sets out, for each type of stakeholder, the applicable measures and examples of cases leading to each consequence. The examples are illustrative and not exhaustive.</w:t>
      </w:r>
    </w:p>
    <w:tbl>
      <w:tblPr>
        <w:tblW w:w="10386" w:type="dxa"/>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0" w:type="dxa"/>
          <w:left w:w="80" w:type="dxa"/>
          <w:bottom w:w="0" w:type="dxa"/>
          <w:right w:w="80" w:type="dxa"/>
        </w:tblCellMar>
      </w:tblPr>
      <w:tblGrid>
        <w:gridCol w:w="2400"/>
        <w:gridCol w:w="4200"/>
        <w:gridCol w:w="3786"/>
      </w:tblGrid>
      <w:tr>
        <w:trPr>
          <w:tblHeader/>
          <w:cantSplit w:val="false"/>
        </w:trPr>
        <w:tc>
          <w:tcPr>
            <w:tcW w:w="2400" w:type="dxa"/>
            <w:shd w:val="clear" w:fill="EDEDED"/>
            <w:tcMar>
              <w:top w:w="60" w:type="dxa"/>
              <w:left w:w="80" w:type="dxa"/>
              <w:bottom w:w="60" w:type="dxa"/>
              <w:right w:w="80" w:type="dxa"/>
            </w:tcMar>
          </w:tcPr>
          <w:p>
            <w:pPr>
              <w:pStyle w:val="Normal"/>
              <w:spacing w:lineRule="auto" w:line="252" w:before="40" w:after="0"/>
              <w:rPr/>
            </w:pPr>
            <w:r>
              <w:rPr>
                <w:rFonts w:eastAsia="Calibri" w:cs="Calibri" w:ascii="Calibri" w:hAnsi="Calibri"/>
                <w:b/>
                <w:bCs/>
                <w:color w:val="000000"/>
                <w:sz w:val="21"/>
                <w:szCs w:val="21"/>
              </w:rPr>
              <w:t xml:space="preserve">Stakeholder</w:t>
            </w:r>
          </w:p>
        </w:tc>
        <w:tc>
          <w:tcPr>
            <w:tcW w:w="4200" w:type="dxa"/>
            <w:shd w:val="clear" w:fill="EDEDED"/>
            <w:tcMar>
              <w:top w:w="60" w:type="dxa"/>
              <w:left w:w="80" w:type="dxa"/>
              <w:bottom w:w="60" w:type="dxa"/>
              <w:right w:w="80" w:type="dxa"/>
            </w:tcMar>
          </w:tcPr>
          <w:p>
            <w:pPr>
              <w:pStyle w:val="Normal"/>
              <w:spacing w:lineRule="auto" w:line="252" w:before="40" w:after="0"/>
              <w:rPr/>
            </w:pPr>
            <w:r>
              <w:rPr>
                <w:rFonts w:eastAsia="Calibri" w:cs="Calibri" w:ascii="Calibri" w:hAnsi="Calibri"/>
                <w:b/>
                <w:bCs/>
                <w:color w:val="000000"/>
                <w:sz w:val="21"/>
                <w:szCs w:val="21"/>
              </w:rPr>
              <w:t xml:space="preserve">Applicable corrective and remedial measures</w:t>
            </w:r>
          </w:p>
        </w:tc>
        <w:tc>
          <w:tcPr>
            <w:tcW w:w="3786" w:type="dxa"/>
            <w:shd w:val="clear" w:fill="EDEDED"/>
            <w:tcMar>
              <w:top w:w="60" w:type="dxa"/>
              <w:left w:w="80" w:type="dxa"/>
              <w:bottom w:w="60" w:type="dxa"/>
              <w:right w:w="80" w:type="dxa"/>
            </w:tcMar>
          </w:tcPr>
          <w:p>
            <w:pPr>
              <w:pStyle w:val="Normal"/>
              <w:spacing w:lineRule="auto" w:line="252" w:before="40" w:after="0"/>
              <w:rPr/>
            </w:pPr>
            <w:r>
              <w:rPr>
                <w:rFonts w:eastAsia="Calibri" w:cs="Calibri" w:ascii="Calibri" w:hAnsi="Calibri"/>
                <w:b/>
                <w:bCs/>
                <w:color w:val="000000"/>
                <w:sz w:val="21"/>
                <w:szCs w:val="21"/>
              </w:rPr>
              <w:t xml:space="preserve">Examples of cases</w:t>
            </w:r>
          </w:p>
        </w:tc>
      </w:tr>
      <w:tr>
        <w:trPr>
          <w:cantSplit w:val="false"/>
        </w:trPr>
        <w:tc>
          <w:tcPr>
            <w:tcW w:w="2400" w:type="dxa"/>
            <w:tcMar>
              <w:top w:w="60" w:type="dxa"/>
              <w:left w:w="80" w:type="dxa"/>
              <w:bottom w:w="60" w:type="dxa"/>
              <w:right w:w="80" w:type="dxa"/>
            </w:tcMar>
          </w:tcPr>
          <w:p>
            <w:pPr>
              <w:pStyle w:val="Normal"/>
              <w:spacing w:lineRule="auto" w:line="252" w:before="40" w:after="0"/>
              <w:rPr/>
            </w:pPr>
            <w:r>
              <w:rPr>
                <w:rFonts w:eastAsia="Calibri" w:cs="Calibri" w:ascii="Calibri" w:hAnsi="Calibri"/>
                <w:color w:val="000000"/>
                <w:sz w:val="21"/>
                <w:szCs w:val="21"/>
              </w:rPr>
              <w:t xml:space="preserve">Employees and managers</w:t>
            </w:r>
          </w:p>
        </w:tc>
        <w:tc>
          <w:tcPr>
            <w:tcW w:w="4200" w:type="dxa"/>
            <w:tcMar>
              <w:top w:w="60" w:type="dxa"/>
              <w:left w:w="80" w:type="dxa"/>
              <w:bottom w:w="60" w:type="dxa"/>
              <w:right w:w="80" w:type="dxa"/>
            </w:tcMar>
          </w:tcPr>
          <w:p>
            <w:pPr>
              <w:pStyle w:val="Normal"/>
              <w:spacing w:lineRule="auto" w:line="252" w:before="40" w:after="0"/>
              <w:rPr/>
            </w:pPr>
            <w:r>
              <w:rPr>
                <w:rFonts w:eastAsia="Calibri" w:cs="Calibri" w:ascii="Calibri" w:hAnsi="Calibri"/>
                <w:color w:val="000000"/>
                <w:sz w:val="21"/>
                <w:szCs w:val="21"/>
              </w:rPr>
              <w:t xml:space="preserve">Verbal or written warning; mandatory additional training on whistleblowing, conduct and leadership; supervision and monitoring; withdrawal of delegated powers or line responsibilities; fine or suspension from work and pay; transfer of the person responsible for the conduct; dismissal for justified reason or just cause, in accordance with the applicable national collective agreement and the company disciplinary code.</w:t>
            </w:r>
          </w:p>
        </w:tc>
        <w:tc>
          <w:tcPr>
            <w:tcW w:w="3786" w:type="dxa"/>
            <w:tcMar>
              <w:top w:w="60" w:type="dxa"/>
              <w:left w:w="80" w:type="dxa"/>
              <w:bottom w:w="60" w:type="dxa"/>
              <w:right w:w="80" w:type="dxa"/>
            </w:tcMar>
          </w:tcPr>
          <w:p>
            <w:pPr>
              <w:pStyle w:val="Normal"/>
              <w:spacing w:lineRule="auto" w:line="252" w:before="40" w:after="60"/>
              <w:rPr/>
            </w:pPr>
            <w:r>
              <w:rPr>
                <w:rFonts w:eastAsia="Calibri" w:cs="Calibri" w:ascii="Calibri" w:hAnsi="Calibri"/>
                <w:color w:val="000000"/>
                <w:sz w:val="21"/>
                <w:szCs w:val="21"/>
              </w:rPr>
              <w:t xml:space="preserve">A manager excludes the person who made a report from meetings and projects: suspension from work, withdrawal of responsibility for the team and a training programme with monitoring at six months.</w:t>
            </w:r>
          </w:p>
          <w:p>
            <w:pPr>
              <w:pStyle w:val="Normal"/>
              <w:spacing w:lineRule="auto" w:line="252" w:before="40" w:after="60"/>
              <w:rPr/>
            </w:pPr>
            <w:r>
              <w:rPr>
                <w:rFonts w:eastAsia="Calibri" w:cs="Calibri" w:ascii="Calibri" w:hAnsi="Calibri"/>
                <w:color w:val="000000"/>
                <w:sz w:val="21"/>
                <w:szCs w:val="21"/>
              </w:rPr>
              <w:t xml:space="preserve">A colleague negligently discloses the identity of the reporting person: written warning and confidentiality training; where the disclosure is intentional and causes serious harm, dismissal.</w:t>
            </w:r>
          </w:p>
          <w:p>
            <w:pPr>
              <w:pStyle w:val="Normal"/>
              <w:spacing w:lineRule="auto" w:line="252" w:before="40" w:after="0"/>
              <w:rPr/>
            </w:pPr>
            <w:r>
              <w:rPr>
                <w:rFonts w:eastAsia="Calibri" w:cs="Calibri" w:ascii="Calibri" w:hAnsi="Calibri"/>
                <w:color w:val="000000"/>
                <w:sz w:val="21"/>
                <w:szCs w:val="21"/>
              </w:rPr>
              <w:t xml:space="preserve">A manager initiates pretextual disciplinary proceedings or denies a promotion already earned: annulment of the act, withdrawal of delegated powers and, in the most serious cases, dismissal.</w:t>
            </w:r>
          </w:p>
        </w:tc>
      </w:tr>
      <w:tr>
        <w:trPr>
          <w:cantSplit w:val="false"/>
        </w:trPr>
        <w:tc>
          <w:tcPr>
            <w:tcW w:w="2400" w:type="dxa"/>
            <w:tcMar>
              <w:top w:w="60" w:type="dxa"/>
              <w:left w:w="80" w:type="dxa"/>
              <w:bottom w:w="60" w:type="dxa"/>
              <w:right w:w="80" w:type="dxa"/>
            </w:tcMar>
          </w:tcPr>
          <w:p>
            <w:pPr>
              <w:pStyle w:val="Normal"/>
              <w:spacing w:lineRule="auto" w:line="252" w:before="40" w:after="0"/>
              <w:rPr/>
            </w:pPr>
            <w:r>
              <w:rPr>
                <w:rFonts w:eastAsia="Calibri" w:cs="Calibri" w:ascii="Calibri" w:hAnsi="Calibri"/>
                <w:color w:val="000000"/>
                <w:sz w:val="21"/>
                <w:szCs w:val="21"/>
              </w:rPr>
              <w:t xml:space="preserve">Collaborators, interns and agency workers</w:t>
            </w:r>
          </w:p>
        </w:tc>
        <w:tc>
          <w:tcPr>
            <w:tcW w:w="4200" w:type="dxa"/>
            <w:tcMar>
              <w:top w:w="60" w:type="dxa"/>
              <w:left w:w="80" w:type="dxa"/>
              <w:bottom w:w="60" w:type="dxa"/>
              <w:right w:w="80" w:type="dxa"/>
            </w:tcMar>
          </w:tcPr>
          <w:p>
            <w:pPr>
              <w:pStyle w:val="Normal"/>
              <w:spacing w:lineRule="auto" w:line="252" w:before="40" w:after="0"/>
              <w:rPr/>
            </w:pPr>
            <w:r>
              <w:rPr>
                <w:rFonts w:eastAsia="Calibri" w:cs="Calibri" w:ascii="Calibri" w:hAnsi="Calibri"/>
                <w:color w:val="000000"/>
                <w:sz w:val="21"/>
                <w:szCs w:val="21"/>
              </w:rPr>
              <w:t xml:space="preserve">Formal warning; additional training; replacement of the tutor or reference person; formal request for remedy to the agency or promoting body; withdrawal from the collaboration contract; termination of the internship or of the assignment.</w:t>
            </w:r>
          </w:p>
        </w:tc>
        <w:tc>
          <w:tcPr>
            <w:tcW w:w="3786" w:type="dxa"/>
            <w:tcMar>
              <w:top w:w="60" w:type="dxa"/>
              <w:left w:w="80" w:type="dxa"/>
              <w:bottom w:w="60" w:type="dxa"/>
              <w:right w:w="80" w:type="dxa"/>
            </w:tcMar>
          </w:tcPr>
          <w:p>
            <w:pPr>
              <w:pStyle w:val="Normal"/>
              <w:spacing w:lineRule="auto" w:line="252" w:before="40" w:after="60"/>
              <w:rPr/>
            </w:pPr>
            <w:r>
              <w:rPr>
                <w:rFonts w:eastAsia="Calibri" w:cs="Calibri" w:ascii="Calibri" w:hAnsi="Calibri"/>
                <w:color w:val="000000"/>
                <w:sz w:val="21"/>
                <w:szCs w:val="21"/>
              </w:rPr>
              <w:t xml:space="preserve">The tutor penalises the assessment of an intern who reported a safety irregularity: annulment of the assessment, replacement of the tutor and notification to the promoting body.</w:t>
            </w:r>
          </w:p>
          <w:p>
            <w:pPr>
              <w:pStyle w:val="Normal"/>
              <w:spacing w:lineRule="auto" w:line="252" w:before="40" w:after="0"/>
              <w:rPr/>
            </w:pPr>
            <w:r>
              <w:rPr>
                <w:rFonts w:eastAsia="Calibri" w:cs="Calibri" w:ascii="Calibri" w:hAnsi="Calibri"/>
                <w:color w:val="000000"/>
                <w:sz w:val="21"/>
                <w:szCs w:val="21"/>
              </w:rPr>
              <w:t xml:space="preserve">The agency terminates the assignment of an agency worker after the report: request for reinstatement of the assignment and review of the relationship with the agency, up to its termination.</w:t>
            </w:r>
          </w:p>
        </w:tc>
      </w:tr>
      <w:tr>
        <w:trPr>
          <w:cantSplit w:val="false"/>
        </w:trPr>
        <w:tc>
          <w:tcPr>
            <w:tcW w:w="2400" w:type="dxa"/>
            <w:tcMar>
              <w:top w:w="60" w:type="dxa"/>
              <w:left w:w="80" w:type="dxa"/>
              <w:bottom w:w="60" w:type="dxa"/>
              <w:right w:w="80" w:type="dxa"/>
            </w:tcMar>
          </w:tcPr>
          <w:p>
            <w:pPr>
              <w:pStyle w:val="Normal"/>
              <w:spacing w:lineRule="auto" w:line="252" w:before="40" w:after="0"/>
              <w:rPr/>
            </w:pPr>
            <w:r>
              <w:rPr>
                <w:rFonts w:eastAsia="Calibri" w:cs="Calibri" w:ascii="Calibri" w:hAnsi="Calibri"/>
                <w:color w:val="000000"/>
                <w:sz w:val="21"/>
                <w:szCs w:val="21"/>
              </w:rPr>
              <w:t xml:space="preserve">Shareholders, directors and members of corporate bodies</w:t>
            </w:r>
          </w:p>
        </w:tc>
        <w:tc>
          <w:tcPr>
            <w:tcW w:w="4200" w:type="dxa"/>
            <w:tcMar>
              <w:top w:w="60" w:type="dxa"/>
              <w:left w:w="80" w:type="dxa"/>
              <w:bottom w:w="60" w:type="dxa"/>
              <w:right w:w="80" w:type="dxa"/>
            </w:tcMar>
          </w:tcPr>
          <w:p>
            <w:pPr>
              <w:pStyle w:val="Normal"/>
              <w:spacing w:lineRule="auto" w:line="252" w:before="40" w:after="0"/>
              <w:rPr/>
            </w:pPr>
            <w:r>
              <w:rPr>
                <w:rFonts w:eastAsia="Calibri" w:cs="Calibri" w:ascii="Calibri" w:hAnsi="Calibri"/>
                <w:color w:val="000000"/>
                <w:sz w:val="21"/>
                <w:szCs w:val="21"/>
              </w:rPr>
              <w:t xml:space="preserve">Obligation to abstain from handling the matter; withdrawal of operational delegated powers; notification to the shareholders’ meeting and to the supervisory body; liability action; report to the competent authorities.</w:t>
            </w:r>
          </w:p>
        </w:tc>
        <w:tc>
          <w:tcPr>
            <w:tcW w:w="3786" w:type="dxa"/>
            <w:tcMar>
              <w:top w:w="60" w:type="dxa"/>
              <w:left w:w="80" w:type="dxa"/>
              <w:bottom w:w="60" w:type="dxa"/>
              <w:right w:w="80" w:type="dxa"/>
            </w:tcMar>
          </w:tcPr>
          <w:p>
            <w:pPr>
              <w:pStyle w:val="Normal"/>
              <w:spacing w:lineRule="auto" w:line="252" w:before="40" w:after="0"/>
              <w:rPr/>
            </w:pPr>
            <w:r>
              <w:rPr>
                <w:rFonts w:eastAsia="Calibri" w:cs="Calibri" w:ascii="Calibri" w:hAnsi="Calibri"/>
                <w:color w:val="000000"/>
                <w:sz w:val="21"/>
                <w:szCs w:val="21"/>
              </w:rPr>
              <w:t xml:space="preserve">A director obstructs the Report Manager’s access to documentation needed for the investigation: notification to the administrative body, withdrawal of delegated powers and transfer of the investigation to an external professional.</w:t>
            </w:r>
          </w:p>
        </w:tc>
      </w:tr>
      <w:tr>
        <w:trPr>
          <w:cantSplit w:val="false"/>
        </w:trPr>
        <w:tc>
          <w:tcPr>
            <w:tcW w:w="2400" w:type="dxa"/>
            <w:tcMar>
              <w:top w:w="60" w:type="dxa"/>
              <w:left w:w="80" w:type="dxa"/>
              <w:bottom w:w="60" w:type="dxa"/>
              <w:right w:w="80" w:type="dxa"/>
            </w:tcMar>
          </w:tcPr>
          <w:p>
            <w:pPr>
              <w:pStyle w:val="Normal"/>
              <w:spacing w:lineRule="auto" w:line="252" w:before="40" w:after="0"/>
              <w:rPr/>
            </w:pPr>
            <w:r>
              <w:rPr>
                <w:rFonts w:eastAsia="Calibri" w:cs="Calibri" w:ascii="Calibri" w:hAnsi="Calibri"/>
                <w:color w:val="000000"/>
                <w:sz w:val="21"/>
                <w:szCs w:val="21"/>
              </w:rPr>
              <w:t xml:space="preserve">Suppliers, consultants, contractors and partners</w:t>
            </w:r>
          </w:p>
        </w:tc>
        <w:tc>
          <w:tcPr>
            <w:tcW w:w="4200" w:type="dxa"/>
            <w:tcMar>
              <w:top w:w="60" w:type="dxa"/>
              <w:left w:w="80" w:type="dxa"/>
              <w:bottom w:w="60" w:type="dxa"/>
              <w:right w:w="80" w:type="dxa"/>
            </w:tcMar>
          </w:tcPr>
          <w:p>
            <w:pPr>
              <w:pStyle w:val="Normal"/>
              <w:spacing w:lineRule="auto" w:line="252" w:before="40" w:after="0"/>
              <w:rPr/>
            </w:pPr>
            <w:r>
              <w:rPr>
                <w:rFonts w:eastAsia="Calibri" w:cs="Calibri" w:ascii="Calibri" w:hAnsi="Calibri"/>
                <w:color w:val="000000"/>
                <w:sz w:val="21"/>
                <w:szCs w:val="21"/>
              </w:rPr>
              <w:t xml:space="preserve">Formal request for remedy within a defined deadline; documented improvement plan with verification; training or adoption of equivalent procedures; suspension of orders; removal from the supplier list; termination of the contract for breach of ethical clauses; claim for damages; report to the authorities.</w:t>
            </w:r>
          </w:p>
        </w:tc>
        <w:tc>
          <w:tcPr>
            <w:tcW w:w="3786" w:type="dxa"/>
            <w:tcMar>
              <w:top w:w="60" w:type="dxa"/>
              <w:left w:w="80" w:type="dxa"/>
              <w:bottom w:w="60" w:type="dxa"/>
              <w:right w:w="80" w:type="dxa"/>
            </w:tcMar>
          </w:tcPr>
          <w:p>
            <w:pPr>
              <w:pStyle w:val="Normal"/>
              <w:spacing w:lineRule="auto" w:line="252" w:before="40" w:after="60"/>
              <w:rPr/>
            </w:pPr>
            <w:r>
              <w:rPr>
                <w:rFonts w:eastAsia="Calibri" w:cs="Calibri" w:ascii="Calibri" w:hAnsi="Calibri"/>
                <w:color w:val="000000"/>
                <w:sz w:val="21"/>
                <w:szCs w:val="21"/>
              </w:rPr>
              <w:t xml:space="preserve">A supplier sanctions or dismisses one of its own employees for reporting irregular working conditions to Artegraf S.r.l.: request for reinstatement within 30 days and suspension of orders; failing remedy, termination of the contract and removal from the supplier list.</w:t>
            </w:r>
          </w:p>
          <w:p>
            <w:pPr>
              <w:pStyle w:val="Normal"/>
              <w:spacing w:lineRule="auto" w:line="252" w:before="40" w:after="0"/>
              <w:rPr/>
            </w:pPr>
            <w:r>
              <w:rPr>
                <w:rFonts w:eastAsia="Calibri" w:cs="Calibri" w:ascii="Calibri" w:hAnsi="Calibri"/>
                <w:color w:val="000000"/>
                <w:sz w:val="21"/>
                <w:szCs w:val="21"/>
              </w:rPr>
              <w:t xml:space="preserve">A consultant threatens retaliatory legal action against the person who reported them: immediate termination of the relationship and assessment of a report to the competent authorities.</w:t>
            </w:r>
          </w:p>
        </w:tc>
      </w:tr>
      <w:tr>
        <w:trPr>
          <w:cantSplit w:val="false"/>
        </w:trPr>
        <w:tc>
          <w:tcPr>
            <w:tcW w:w="2400" w:type="dxa"/>
            <w:tcMar>
              <w:top w:w="60" w:type="dxa"/>
              <w:left w:w="80" w:type="dxa"/>
              <w:bottom w:w="60" w:type="dxa"/>
              <w:right w:w="80" w:type="dxa"/>
            </w:tcMar>
          </w:tcPr>
          <w:p>
            <w:pPr>
              <w:pStyle w:val="Normal"/>
              <w:spacing w:lineRule="auto" w:line="252" w:before="40" w:after="0"/>
              <w:rPr/>
            </w:pPr>
            <w:r>
              <w:rPr>
                <w:rFonts w:eastAsia="Calibri" w:cs="Calibri" w:ascii="Calibri" w:hAnsi="Calibri"/>
                <w:color w:val="000000"/>
                <w:sz w:val="21"/>
                <w:szCs w:val="21"/>
              </w:rPr>
              <w:t xml:space="preserve">Customers and other external stakeholders</w:t>
            </w:r>
          </w:p>
        </w:tc>
        <w:tc>
          <w:tcPr>
            <w:tcW w:w="4200" w:type="dxa"/>
            <w:tcMar>
              <w:top w:w="60" w:type="dxa"/>
              <w:left w:w="80" w:type="dxa"/>
              <w:bottom w:w="60" w:type="dxa"/>
              <w:right w:w="80" w:type="dxa"/>
            </w:tcMar>
          </w:tcPr>
          <w:p>
            <w:pPr>
              <w:pStyle w:val="Normal"/>
              <w:spacing w:lineRule="auto" w:line="252" w:before="40" w:after="0"/>
              <w:rPr/>
            </w:pPr>
            <w:r>
              <w:rPr>
                <w:rFonts w:eastAsia="Calibri" w:cs="Calibri" w:ascii="Calibri" w:hAnsi="Calibri"/>
                <w:color w:val="000000"/>
                <w:sz w:val="21"/>
                <w:szCs w:val="21"/>
              </w:rPr>
              <w:t xml:space="preserve">Formal letter of reprimand; request for remedy; review of commercial terms; suspension or termination of the relationship; report to the authorities where applicable.</w:t>
            </w:r>
          </w:p>
        </w:tc>
        <w:tc>
          <w:tcPr>
            <w:tcW w:w="3786" w:type="dxa"/>
            <w:tcMar>
              <w:top w:w="60" w:type="dxa"/>
              <w:left w:w="80" w:type="dxa"/>
              <w:bottom w:w="60" w:type="dxa"/>
              <w:right w:w="80" w:type="dxa"/>
            </w:tcMar>
          </w:tcPr>
          <w:p>
            <w:pPr>
              <w:pStyle w:val="Normal"/>
              <w:spacing w:lineRule="auto" w:line="252" w:before="40" w:after="0"/>
              <w:rPr/>
            </w:pPr>
            <w:r>
              <w:rPr>
                <w:rFonts w:eastAsia="Calibri" w:cs="Calibri" w:ascii="Calibri" w:hAnsi="Calibri"/>
                <w:color w:val="000000"/>
                <w:sz w:val="21"/>
                <w:szCs w:val="21"/>
              </w:rPr>
              <w:t xml:space="preserve">A customer asks for the removal from the contract of the person who reported an improper practice: refusal of the request, formal communication of the reasons and review of the commercial relationship.</w:t>
            </w:r>
          </w:p>
        </w:tc>
      </w:tr>
    </w:tbl>
    <w:p>
      <w:pPr>
        <w:pStyle w:val="Normal"/>
        <w:spacing w:lineRule="auto" w:line="276" w:before="0" w:after="120"/>
        <w:jc w:val="both"/>
        <w:rPr/>
      </w:pPr>
      <w:r>
        <w:rPr>
          <w:rFonts w:eastAsia="Calibri" w:cs="Calibri" w:ascii="Calibri" w:hAnsi="Calibri"/>
          <w:color w:val="000000"/>
          <w:sz w:val="21"/>
          <w:szCs w:val="21"/>
        </w:rPr>
        <w:t/>
      </w:r>
    </w:p>
    <w:p>
      <w:pPr>
        <w:pStyle w:val="Normal"/>
        <w:spacing w:before="180" w:after="60"/>
        <w:rPr>
          <w:rFonts w:ascii="Calibri" w:hAnsi="Calibri" w:eastAsia="Calibri" w:cs="Calibri"/>
          <w:b/>
          <w:bCs/>
          <w:sz w:val="21"/>
          <w:szCs w:val="21"/>
        </w:rPr>
      </w:pPr>
      <w:r>
        <w:rPr>
          <w:rFonts w:eastAsia="Calibri" w:cs="Calibri" w:ascii="Calibri" w:hAnsi="Calibri"/>
          <w:b/>
          <w:bCs/>
          <w:color w:val="000000"/>
          <w:sz w:val="21"/>
          <w:szCs w:val="21"/>
        </w:rPr>
        <w:t xml:space="preserve">4.3 Removal of effects and organisational remedy</w:t>
      </w:r>
    </w:p>
    <w:p>
      <w:pPr>
        <w:pStyle w:val="Normal"/>
        <w:spacing w:lineRule="auto" w:line="276" w:before="0" w:after="120"/>
        <w:jc w:val="both"/>
        <w:rPr/>
      </w:pPr>
      <w:r>
        <w:rPr>
          <w:rFonts w:eastAsia="Calibri" w:cs="Calibri" w:ascii="Calibri" w:hAnsi="Calibri"/>
          <w:color w:val="000000"/>
          <w:sz w:val="21"/>
          <w:szCs w:val="21"/>
        </w:rPr>
        <w:t xml:space="preserve">In addition to the consequences for those responsible, the company acts on the effects produced and on the conditions that made them possible:</w:t>
      </w:r>
    </w:p>
    <w:p>
      <w:pPr>
        <w:pStyle w:val="Normal"/>
        <w:numPr>
          <w:ilvl w:val="0"/>
          <w:numId w:val="2"/>
        </w:numPr>
        <w:spacing w:lineRule="auto" w:line="276" w:before="0" w:after="70"/>
        <w:jc w:val="both"/>
        <w:rPr/>
      </w:pPr>
      <w:r>
        <w:rPr>
          <w:rFonts w:eastAsia="Calibri" w:cs="Calibri" w:ascii="Calibri" w:hAnsi="Calibri"/>
          <w:color w:val="000000"/>
          <w:sz w:val="21"/>
          <w:szCs w:val="21"/>
        </w:rPr>
        <w:t xml:space="preserve">restoration of the previous situation: reinstatement in duties, working hours and place of work, repayment of sums withheld, annulment of retaliatory appraisals or measures, readmission to training, selection or advancement processes, reactivation of suspended contracts or orders;</w:t>
      </w:r>
    </w:p>
    <w:p>
      <w:pPr>
        <w:pStyle w:val="Normal"/>
        <w:numPr>
          <w:ilvl w:val="0"/>
          <w:numId w:val="2"/>
        </w:numPr>
        <w:spacing w:lineRule="auto" w:line="276" w:before="0" w:after="70"/>
        <w:jc w:val="both"/>
        <w:rPr/>
      </w:pPr>
      <w:r>
        <w:rPr>
          <w:rFonts w:eastAsia="Calibri" w:cs="Calibri" w:ascii="Calibri" w:hAnsi="Calibri"/>
          <w:color w:val="000000"/>
          <w:sz w:val="21"/>
          <w:szCs w:val="21"/>
        </w:rPr>
        <w:t xml:space="preserve">review of the internal practices that allowed the conduct: procedures, delegated powers, performance appraisal criteria, arrangements for managing conflicts of interest and reporting channels;</w:t>
      </w:r>
    </w:p>
    <w:p>
      <w:pPr>
        <w:pStyle w:val="Normal"/>
        <w:numPr>
          <w:ilvl w:val="0"/>
          <w:numId w:val="2"/>
        </w:numPr>
        <w:spacing w:lineRule="auto" w:line="276" w:before="0" w:after="70"/>
        <w:jc w:val="both"/>
        <w:rPr/>
      </w:pPr>
      <w:r>
        <w:rPr>
          <w:rFonts w:eastAsia="Calibri" w:cs="Calibri" w:ascii="Calibri" w:hAnsi="Calibri"/>
          <w:color w:val="000000"/>
          <w:sz w:val="21"/>
          <w:szCs w:val="21"/>
        </w:rPr>
        <w:t xml:space="preserve">additional training extended to the function or team involved and internal communication recalling the protections in place;</w:t>
      </w:r>
    </w:p>
    <w:p>
      <w:pPr>
        <w:pStyle w:val="Normal"/>
        <w:numPr>
          <w:ilvl w:val="0"/>
          <w:numId w:val="2"/>
        </w:numPr>
        <w:spacing w:lineRule="auto" w:line="276" w:before="0" w:after="70"/>
        <w:jc w:val="both"/>
        <w:rPr/>
      </w:pPr>
      <w:r>
        <w:rPr>
          <w:rFonts w:eastAsia="Calibri" w:cs="Calibri" w:ascii="Calibri" w:hAnsi="Calibri"/>
          <w:color w:val="000000"/>
          <w:sz w:val="21"/>
          <w:szCs w:val="21"/>
        </w:rPr>
        <w:t xml:space="preserve">inclusion of the issues identified among the elements for review of this policy and of the Whistleblowing Procedure.</w:t>
      </w:r>
    </w:p>
    <w:p>
      <w:pPr>
        <w:pStyle w:val="Normal"/>
        <w:spacing w:before="180" w:after="60"/>
        <w:rPr>
          <w:rFonts w:ascii="Calibri" w:hAnsi="Calibri" w:eastAsia="Calibri" w:cs="Calibri"/>
          <w:b/>
          <w:bCs/>
          <w:sz w:val="21"/>
          <w:szCs w:val="21"/>
        </w:rPr>
      </w:pPr>
      <w:r>
        <w:rPr>
          <w:rFonts w:eastAsia="Calibri" w:cs="Calibri" w:ascii="Calibri" w:hAnsi="Calibri"/>
          <w:b/>
          <w:bCs/>
          <w:color w:val="000000"/>
          <w:sz w:val="21"/>
          <w:szCs w:val="21"/>
        </w:rPr>
        <w:t xml:space="preserve">4.4 Reporting to the competent authorities</w:t>
      </w:r>
    </w:p>
    <w:p>
      <w:pPr>
        <w:pStyle w:val="Normal"/>
        <w:spacing w:lineRule="auto" w:line="276" w:before="0" w:after="120"/>
        <w:jc w:val="both"/>
        <w:rPr/>
      </w:pPr>
      <w:r>
        <w:rPr>
          <w:rFonts w:eastAsia="Calibri" w:cs="Calibri" w:ascii="Calibri" w:hAnsi="Calibri"/>
          <w:color w:val="000000"/>
          <w:sz w:val="21"/>
          <w:szCs w:val="21"/>
        </w:rPr>
        <w:t xml:space="preserve">The administrative body is informed of every established case. Where the facts so require, the company makes or supports a report to the authorities: the judicial authority for matters of criminal relevance; the Territorial Labour Inspectorate or the local health authority for breaches relating to employment and safety; ANAC for retaliation, which may impose the administrative penalties provided for by Legislative Decree 24/2023; the Data Protection Authority for breaches relating to personal data; other sector authorities within their remit.</w:t>
      </w:r>
    </w:p>
    <w:p>
      <w:pPr>
        <w:pStyle w:val="Normal"/>
        <w:spacing w:before="180" w:after="60"/>
        <w:rPr>
          <w:rFonts w:ascii="Calibri" w:hAnsi="Calibri" w:eastAsia="Calibri" w:cs="Calibri"/>
          <w:b/>
          <w:bCs/>
          <w:sz w:val="21"/>
          <w:szCs w:val="21"/>
        </w:rPr>
      </w:pPr>
      <w:r>
        <w:rPr>
          <w:rFonts w:eastAsia="Calibri" w:cs="Calibri" w:ascii="Calibri" w:hAnsi="Calibri"/>
          <w:b/>
          <w:bCs/>
          <w:color w:val="000000"/>
          <w:sz w:val="21"/>
          <w:szCs w:val="21"/>
        </w:rPr>
        <w:t xml:space="preserve">4.5 Equivalent conduct</w:t>
      </w:r>
    </w:p>
    <w:p>
      <w:pPr>
        <w:pStyle w:val="Normal"/>
        <w:spacing w:lineRule="auto" w:line="276" w:before="0" w:after="120"/>
        <w:jc w:val="both"/>
        <w:rPr/>
      </w:pPr>
      <w:r>
        <w:rPr>
          <w:rFonts w:eastAsia="Calibri" w:cs="Calibri" w:ascii="Calibri" w:hAnsi="Calibri"/>
          <w:color w:val="000000"/>
          <w:sz w:val="21"/>
          <w:szCs w:val="21"/>
        </w:rPr>
        <w:t xml:space="preserve">The same consequences, graded according to the type of stakeholder set out in section 4.2, apply to anyone who breaches the confidentiality obligations under this policy, to anyone who obstructs or attempts to obstruct a report, and to anyone who knowingly makes an unfounded report with intent or gross negligence.</w:t>
      </w:r>
    </w:p>
    <w:p>
      <w:pPr>
        <w:pStyle w:val="Normal"/>
        <w:spacing w:before="180" w:after="60"/>
        <w:rPr>
          <w:rFonts w:ascii="Calibri" w:hAnsi="Calibri" w:eastAsia="Calibri" w:cs="Calibri"/>
          <w:b/>
          <w:bCs/>
          <w:sz w:val="21"/>
          <w:szCs w:val="21"/>
        </w:rPr>
      </w:pPr>
      <w:r>
        <w:rPr>
          <w:rFonts w:eastAsia="Calibri" w:cs="Calibri" w:ascii="Calibri" w:hAnsi="Calibri"/>
          <w:b/>
          <w:bCs/>
          <w:color w:val="000000"/>
          <w:sz w:val="21"/>
          <w:szCs w:val="21"/>
        </w:rPr>
        <w:t xml:space="preserve">4.6 Advance information to stakeholders</w:t>
      </w:r>
    </w:p>
    <w:p>
      <w:pPr>
        <w:pStyle w:val="Normal"/>
        <w:spacing w:lineRule="auto" w:line="276" w:before="0" w:after="120"/>
        <w:jc w:val="both"/>
        <w:rPr/>
      </w:pPr>
      <w:r>
        <w:rPr>
          <w:rFonts w:eastAsia="Calibri" w:cs="Calibri" w:ascii="Calibri" w:hAnsi="Calibri"/>
          <w:color w:val="000000"/>
          <w:sz w:val="21"/>
          <w:szCs w:val="21"/>
        </w:rPr>
        <w:t xml:space="preserve">All stakeholders are informed in advance of the possible consequences they may face if they are involved in a dispute and the investigation establishes the need for corrective measures. To this end the policy is published on the company website, given to the people of the organisation when they join and recalled in the code of ethics; it is attached to, or recalled by a specific clause in, contracts with suppliers, consultants, contractors and partners, and communicated to customers in the general terms of supply. At the opening of any proceeding the person concerned is informed of the allegations, of the applicable measures and of their rights of defence.</w:t>
      </w:r>
    </w:p>
    <w:p>
      <w:pPr>
        <w:pStyle w:val="Normal"/>
        <w:spacing w:before="240" w:after="90"/>
        <w:rPr>
          <w:rFonts w:ascii="Calibri" w:hAnsi="Calibri" w:eastAsia="Calibri" w:cs="Calibri"/>
          <w:b/>
          <w:bCs/>
          <w:sz w:val="23"/>
          <w:szCs w:val="23"/>
        </w:rPr>
      </w:pPr>
      <w:r>
        <w:rPr>
          <w:rFonts w:eastAsia="Calibri" w:cs="Calibri" w:ascii="Calibri" w:hAnsi="Calibri"/>
          <w:b/>
          <w:bCs/>
          <w:sz w:val="23"/>
          <w:szCs w:val="23"/>
        </w:rPr>
        <w:t xml:space="preserve">5. Protections guaranteed</w:t>
      </w:r>
    </w:p>
    <w:p>
      <w:pPr>
        <w:pStyle w:val="Normal"/>
        <w:numPr>
          <w:ilvl w:val="0"/>
          <w:numId w:val="2"/>
        </w:numPr>
        <w:spacing w:lineRule="auto" w:line="276" w:before="0" w:after="70"/>
        <w:jc w:val="both"/>
        <w:rPr/>
      </w:pPr>
      <w:r>
        <w:rPr>
          <w:rFonts w:eastAsia="Calibri" w:cs="Calibri" w:ascii="Calibri" w:hAnsi="Calibri"/>
          <w:color w:val="000000"/>
          <w:sz w:val="21"/>
          <w:szCs w:val="21"/>
        </w:rPr>
        <w:t xml:space="preserve">Confidentiality of identity: the identity of the reporting person and any information that may reveal it are not disclosed to third parties without their express consent, save for legal obligations. The operational measures for protection, storage and access tracking are set out in the Whistleblowing Procedure (section 8).</w:t>
      </w:r>
    </w:p>
    <w:p>
      <w:pPr>
        <w:pStyle w:val="Normal"/>
        <w:numPr>
          <w:ilvl w:val="0"/>
          <w:numId w:val="2"/>
        </w:numPr>
        <w:spacing w:lineRule="auto" w:line="276" w:before="0" w:after="70"/>
        <w:jc w:val="both"/>
        <w:rPr/>
      </w:pPr>
      <w:r>
        <w:rPr>
          <w:rFonts w:eastAsia="Calibri" w:cs="Calibri" w:ascii="Calibri" w:hAnsi="Calibri"/>
          <w:color w:val="000000"/>
          <w:sz w:val="21"/>
          <w:szCs w:val="21"/>
        </w:rPr>
        <w:t xml:space="preserve">Retaliation risk assessment: for people in a position of greater vulnerability a preliminary assessment of retaliation risks is carried out and specific measures are adopted, where appropriate with the support of independent third parties.</w:t>
      </w:r>
    </w:p>
    <w:p>
      <w:pPr>
        <w:pStyle w:val="Normal"/>
        <w:numPr>
          <w:ilvl w:val="0"/>
          <w:numId w:val="2"/>
        </w:numPr>
        <w:spacing w:lineRule="auto" w:line="276" w:before="0" w:after="70"/>
        <w:jc w:val="both"/>
        <w:rPr/>
      </w:pPr>
      <w:r>
        <w:rPr>
          <w:rFonts w:eastAsia="Calibri" w:cs="Calibri" w:ascii="Calibri" w:hAnsi="Calibri"/>
          <w:color w:val="000000"/>
          <w:sz w:val="21"/>
          <w:szCs w:val="21"/>
        </w:rPr>
        <w:t xml:space="preserve">Burden of proof: where the reporting person suffers a detrimental act after making a report, it is for the company to demonstrate that the act is motivated by reasons unrelated to the report.</w:t>
      </w:r>
    </w:p>
    <w:p>
      <w:pPr>
        <w:pStyle w:val="Normal"/>
        <w:numPr>
          <w:ilvl w:val="0"/>
          <w:numId w:val="2"/>
        </w:numPr>
        <w:spacing w:lineRule="auto" w:line="276" w:before="0" w:after="70"/>
        <w:jc w:val="both"/>
        <w:rPr/>
      </w:pPr>
      <w:r>
        <w:rPr>
          <w:rFonts w:eastAsia="Calibri" w:cs="Calibri" w:ascii="Calibri" w:hAnsi="Calibri"/>
          <w:color w:val="000000"/>
          <w:sz w:val="21"/>
          <w:szCs w:val="21"/>
        </w:rPr>
        <w:t xml:space="preserve">Priority for reports of retaliation: alleged retaliation, including attempted retaliation, may be reported through the same channels provided for by the Procedure and is handled as a priority, with immediate adoption of the necessary protective measures.</w:t>
      </w:r>
    </w:p>
    <w:p>
      <w:pPr>
        <w:pStyle w:val="Normal"/>
        <w:numPr>
          <w:ilvl w:val="0"/>
          <w:numId w:val="2"/>
        </w:numPr>
        <w:spacing w:lineRule="auto" w:line="276" w:before="0" w:after="70"/>
        <w:jc w:val="both"/>
        <w:rPr/>
      </w:pPr>
      <w:r>
        <w:rPr>
          <w:rFonts w:eastAsia="Calibri" w:cs="Calibri" w:ascii="Calibri" w:hAnsi="Calibri"/>
          <w:color w:val="000000"/>
          <w:sz w:val="21"/>
          <w:szCs w:val="21"/>
        </w:rPr>
        <w:t xml:space="preserve">Continuity of protection: the protections under this policy also apply where a report proves unfounded, provided it was made in good faith, and to anyone who uses the external channel or makes a public disclosure in the cases permitted by law.</w:t>
      </w:r>
    </w:p>
    <w:p>
      <w:pPr>
        <w:pStyle w:val="Normal"/>
        <w:spacing w:before="240" w:after="90"/>
        <w:rPr>
          <w:rFonts w:ascii="Calibri" w:hAnsi="Calibri" w:eastAsia="Calibri" w:cs="Calibri"/>
          <w:b/>
          <w:bCs/>
          <w:sz w:val="23"/>
          <w:szCs w:val="23"/>
        </w:rPr>
      </w:pPr>
      <w:r>
        <w:rPr>
          <w:rFonts w:eastAsia="Calibri" w:cs="Calibri" w:ascii="Calibri" w:hAnsi="Calibri"/>
          <w:b/>
          <w:bCs/>
          <w:sz w:val="23"/>
          <w:szCs w:val="23"/>
        </w:rPr>
        <w:t xml:space="preserve">6. External channel and public disclosure</w:t>
      </w:r>
    </w:p>
    <w:p>
      <w:pPr>
        <w:pStyle w:val="Normal"/>
        <w:spacing w:lineRule="auto" w:line="276" w:before="0" w:after="120"/>
        <w:jc w:val="both"/>
        <w:rPr/>
      </w:pPr>
      <w:r>
        <w:rPr>
          <w:rFonts w:eastAsia="Calibri" w:cs="Calibri" w:ascii="Calibri" w:hAnsi="Calibri"/>
          <w:color w:val="000000"/>
          <w:sz w:val="21"/>
          <w:szCs w:val="21"/>
        </w:rPr>
        <w:t xml:space="preserve">This policy in no way limits the right of the reporting person to turn to the external channel established and managed by the Italian National Anti-Corruption Authority (ANAC) under Legislative Decree 24/2023, nor to rely on the other protections provided by law. The conditions for accessing the external channel and the cases in which public disclosure is permitted are set out in the Whistleblowing Procedure (section 10).</w:t>
      </w:r>
    </w:p>
    <w:p>
      <w:pPr>
        <w:pStyle w:val="Normal"/>
        <w:spacing w:before="240" w:after="90"/>
        <w:rPr>
          <w:rFonts w:ascii="Calibri" w:hAnsi="Calibri" w:eastAsia="Calibri" w:cs="Calibri"/>
          <w:b/>
          <w:bCs/>
          <w:sz w:val="23"/>
          <w:szCs w:val="23"/>
        </w:rPr>
      </w:pPr>
      <w:r>
        <w:rPr>
          <w:rFonts w:eastAsia="Calibri" w:cs="Calibri" w:ascii="Calibri" w:hAnsi="Calibri"/>
          <w:b/>
          <w:bCs/>
          <w:sz w:val="23"/>
          <w:szCs w:val="23"/>
        </w:rPr>
        <w:t xml:space="preserve">7. Approval, dissemination and review</w:t>
      </w:r>
    </w:p>
    <w:p>
      <w:pPr>
        <w:pStyle w:val="Normal"/>
        <w:spacing w:lineRule="auto" w:line="276" w:before="0" w:after="120"/>
        <w:jc w:val="both"/>
        <w:rPr>
          <w:rFonts w:ascii="Calibri" w:hAnsi="Calibri" w:eastAsia="Calibri" w:cs="Calibri"/>
          <w:sz w:val="21"/>
          <w:szCs w:val="21"/>
        </w:rPr>
      </w:pPr>
      <w:r>
        <w:rPr>
          <w:rFonts w:eastAsia="Calibri" w:cs="Calibri" w:ascii="Calibri" w:hAnsi="Calibri"/>
          <w:sz w:val="21"/>
          <w:szCs w:val="21"/>
        </w:rPr>
        <w:t xml:space="preserve">Approved by the Administrative Body on 10 September 2026. The policy is published on the company website, given to the people of the organisation and reviewed at least every two years. Responsible: Lorenzo Bambini.</w:t>
      </w:r>
    </w:p>
    <w:p>
      <w:pPr>
        <w:pStyle w:val="Normal"/>
        <w:rPr>
          <w:i/>
          <w:i/>
          <w:iCs/>
          <w:color w:val="000000"/>
          <w:sz w:val="21"/>
          <w:szCs w:val="21"/>
        </w:rPr>
      </w:pPr>
      <w:r>
        <w:rPr/>
        <w:tab/>
        <w:tab/>
        <w:tab/>
        <w:tab/>
        <w:tab/>
        <w:tab/>
        <w:tab/>
        <w:tab/>
        <w:tab/>
        <w:t xml:space="preserve">    </w:t>
        <w:tab/>
      </w:r>
    </w:p>
    <w:sectPr>
      <w:headerReference w:type="default" r:id="rId2"/>
      <w:footerReference w:type="default" r:id="rId3"/>
      <w:type w:val="nextPage"/>
      <w:pgSz w:w="11906" w:h="16838"/>
      <w:pgMar w:left="1134" w:right="386" w:gutter="0" w:header="708" w:top="1417" w:footer="7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0" w:characterSet="windows-1252"/>
    <w:family w:val="swiss"/>
    <w:pitch w:val="variable"/>
  </w:font>
  <w:font w:name="Helvetica">
    <w:altName w:val="Arial"/>
    <w:charset w:val="00" w:characterSet="windows-1252"/>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bottom w:val="single" w:sz="6" w:space="1" w:color="000000"/>
      </w:pBdr>
      <w:rPr/>
    </w:pPr>
    <w:r>
      <w:rPr/>
    </w:r>
  </w:p>
  <w:p>
    <w:pPr>
      <w:pStyle w:val="Footer"/>
      <w:rPr>
        <w:rFonts w:ascii="Helvetica" w:hAnsi="Helvetica" w:cs="Helvetica"/>
        <w:b/>
      </w:rPr>
    </w:pPr>
    <w:r>
      <w:rPr>
        <w:rFonts w:cs="Helvetica" w:ascii="Helvetica" w:hAnsi="Helvetica"/>
        <w:b/>
      </w:rPr>
      <w:t>Artegraf s.r.l.</w:t>
    </w:r>
  </w:p>
  <w:p>
    <w:pPr>
      <w:pStyle w:val="Footer"/>
      <w:rPr>
        <w:rFonts w:ascii="Helvetica" w:hAnsi="Helvetica" w:cs="Helvetica"/>
      </w:rPr>
    </w:pPr>
    <w:r>
      <w:rPr>
        <w:rFonts w:cs="Helvetica" w:ascii="Helvetica" w:hAnsi="Helvetica"/>
      </w:rPr>
      <w:t>06011 – Città di Castello – Perugia – Italy – Via Vittorini, 20/b loc. Cerbara</w:t>
    </w:r>
  </w:p>
  <w:p>
    <w:pPr>
      <w:pStyle w:val="Footer"/>
      <w:rPr>
        <w:rFonts w:ascii="Helvetica" w:hAnsi="Helvetica" w:cs="Helvetica"/>
      </w:rPr>
    </w:pPr>
    <w:r>
      <w:rPr>
        <w:rFonts w:cs="Helvetica" w:ascii="Helvetica" w:hAnsi="Helvetica"/>
      </w:rPr>
      <w:t xml:space="preserve">Tel. 075.851.11.41 Fax 075.851.90.35 - e.Mail: </w:t>
    </w:r>
    <w:hyperlink r:id="rId1">
      <w:r>
        <w:rPr>
          <w:rStyle w:val="Hyperlink"/>
          <w:rFonts w:cs="Helvetica" w:ascii="Helvetica" w:hAnsi="Helvetica"/>
          <w:color w:val="000000"/>
        </w:rPr>
        <w:t>info@artegrafstampa.it</w:t>
      </w:r>
    </w:hyperlink>
    <w:r>
      <w:rPr>
        <w:rFonts w:cs="Helvetica" w:ascii="Helvetica" w:hAnsi="Helvetica"/>
        <w:color w:val="000000"/>
      </w:rPr>
      <w:t xml:space="preserve"> - </w:t>
    </w:r>
    <w:hyperlink r:id="rId2">
      <w:r>
        <w:rPr>
          <w:rStyle w:val="Hyperlink"/>
          <w:rFonts w:cs="Helvetica" w:ascii="Helvetica" w:hAnsi="Helvetica"/>
          <w:color w:val="000000"/>
        </w:rPr>
        <w:t>www.artegrafstampa.it</w:t>
      </w:r>
    </w:hyperlink>
  </w:p>
  <w:p>
    <w:pPr>
      <w:pStyle w:val="Footer"/>
      <w:rPr/>
    </w:pPr>
    <w:r>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lang w:val="en-US" w:eastAsia="en-US"/>
      </w:rPr>
    </w:pPr>
    <w:r>
      <w:rPr>
        <w:lang w:val="en-US" w:eastAsia="en-US"/>
      </w:rPr>
      <w:drawing>
        <wp:inline distT="0" distB="0" distL="0" distR="0">
          <wp:extent cx="6281420" cy="1600835"/>
          <wp:effectExtent l="0" t="0" r="0" b="0"/>
          <wp:docPr id="1" name="Immagin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 title=""/>
                  <pic:cNvPicPr>
                    <a:picLocks noChangeAspect="1" noChangeArrowheads="1"/>
                  </pic:cNvPicPr>
                </pic:nvPicPr>
                <pic:blipFill>
                  <a:blip r:embed="rId1"/>
                  <a:srcRect l="-2" t="-5" r="-2" b="-5"/>
                  <a:stretch>
                    <a:fillRect/>
                  </a:stretch>
                </pic:blipFill>
                <pic:spPr bwMode="auto">
                  <a:xfrm>
                    <a:off x="0" y="0"/>
                    <a:ext cx="6281420" cy="1600835"/>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bullet"/>
      <w:lvlText w:val=""/>
      <w:lvlJc w:val="start"/>
      <w:pPr>
        <w:tabs>
          <w:tab w:val="num" w:pos="0"/>
        </w:tabs>
        <w:ind w:start="431" w:hanging="259"/>
      </w:pPr>
      <w:rPr>
        <w:rFonts w:ascii="Symbol" w:hAnsi="Symbol" w:cs="Symbol" w:hint="default"/>
      </w:rPr>
    </w:lvl>
    <w:lvl w:ilvl="1">
      <w:start w:val="1"/>
      <w:numFmt w:val="bullet"/>
      <w:lvlText w:val=""/>
      <w:lvlJc w:val="start"/>
      <w:pPr>
        <w:tabs>
          <w:tab w:val="num" w:pos="0"/>
        </w:tabs>
        <w:ind w:start="863" w:hanging="259"/>
      </w:pPr>
      <w:rPr>
        <w:rFonts w:ascii="Symbol" w:hAnsi="Symbol" w:cs="Symbol" w:hint="default"/>
      </w:rPr>
    </w:lvl>
    <w:lvl w:ilvl="2">
      <w:start w:val="1"/>
      <w:numFmt w:val="bullet"/>
      <w:lvlText w:val=""/>
      <w:lvlJc w:val="start"/>
      <w:pPr>
        <w:tabs>
          <w:tab w:val="num" w:pos="0"/>
        </w:tabs>
        <w:ind w:start="0" w:hanging="0"/>
      </w:pPr>
      <w:rPr>
        <w:rFonts w:ascii="Symbol" w:hAnsi="Symbol" w:cs="Symbol" w:hint="default"/>
      </w:rPr>
    </w:lvl>
    <w:lvl w:ilvl="3">
      <w:start w:val="1"/>
      <w:numFmt w:val="bullet"/>
      <w:lvlText w:val=""/>
      <w:lvlJc w:val="start"/>
      <w:pPr>
        <w:tabs>
          <w:tab w:val="num" w:pos="0"/>
        </w:tabs>
        <w:ind w:start="0" w:hanging="0"/>
      </w:pPr>
      <w:rPr>
        <w:rFonts w:ascii="Symbol" w:hAnsi="Symbol" w:cs="Symbol" w:hint="default"/>
      </w:rPr>
    </w:lvl>
    <w:lvl w:ilvl="4">
      <w:start w:val="1"/>
      <w:numFmt w:val="bullet"/>
      <w:lvlText w:val=""/>
      <w:lvlJc w:val="start"/>
      <w:pPr>
        <w:tabs>
          <w:tab w:val="num" w:pos="0"/>
        </w:tabs>
        <w:ind w:start="0" w:hanging="0"/>
      </w:pPr>
      <w:rPr>
        <w:rFonts w:ascii="Symbol" w:hAnsi="Symbol" w:cs="Symbol" w:hint="default"/>
      </w:rPr>
    </w:lvl>
    <w:lvl w:ilvl="5">
      <w:start w:val="1"/>
      <w:numFmt w:val="bullet"/>
      <w:lvlText w:val=""/>
      <w:lvlJc w:val="start"/>
      <w:pPr>
        <w:tabs>
          <w:tab w:val="num" w:pos="0"/>
        </w:tabs>
        <w:ind w:start="0" w:hanging="0"/>
      </w:pPr>
      <w:rPr>
        <w:rFonts w:ascii="Symbol" w:hAnsi="Symbol" w:cs="Symbol" w:hint="default"/>
      </w:rPr>
    </w:lvl>
    <w:lvl w:ilvl="6">
      <w:start w:val="1"/>
      <w:numFmt w:val="bullet"/>
      <w:lvlText w:val=""/>
      <w:lvlJc w:val="start"/>
      <w:pPr>
        <w:tabs>
          <w:tab w:val="num" w:pos="0"/>
        </w:tabs>
        <w:ind w:start="0" w:hanging="0"/>
      </w:pPr>
      <w:rPr>
        <w:rFonts w:ascii="Symbol" w:hAnsi="Symbol" w:cs="Symbol" w:hint="default"/>
      </w:rPr>
    </w:lvl>
    <w:lvl w:ilvl="7">
      <w:start w:val="1"/>
      <w:numFmt w:val="bullet"/>
      <w:lvlText w:val=""/>
      <w:lvlJc w:val="start"/>
      <w:pPr>
        <w:tabs>
          <w:tab w:val="num" w:pos="0"/>
        </w:tabs>
        <w:ind w:start="0" w:hanging="0"/>
      </w:pPr>
      <w:rPr>
        <w:rFonts w:ascii="Symbol" w:hAnsi="Symbol" w:cs="Symbol" w:hint="default"/>
      </w:rPr>
    </w:lvl>
    <w:lvl w:ilvl="8">
      <w:start w:val="1"/>
      <w:numFmt w:val="bullet"/>
      <w:lvlText w:val=""/>
      <w:lvlJc w:val="start"/>
      <w:pPr>
        <w:tabs>
          <w:tab w:val="num" w:pos="0"/>
        </w:tabs>
        <w:ind w:start="0" w:hanging="0"/>
      </w:pPr>
      <w:rPr>
        <w:rFonts w:ascii="Symbol" w:hAnsi="Symbol" w:cs="Symbol" w:hint="default"/>
      </w:r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0"/>
      <w:szCs w:val="20"/>
      <w:lang w:val="it-IT" w:bidi="ar-SA" w:eastAsia="zh-CN"/>
    </w:rPr>
  </w:style>
  <w:style w:type="paragraph" w:styleId="Heading1">
    <w:name w:val="Heading 1"/>
    <w:basedOn w:val="Normal"/>
    <w:next w:val="Normal"/>
    <w:qFormat/>
    <w:pPr>
      <w:keepNext w:val="true"/>
      <w:numPr>
        <w:ilvl w:val="0"/>
        <w:numId w:val="1"/>
      </w:numPr>
      <w:outlineLvl w:val="0"/>
    </w:pPr>
    <w:rPr>
      <w:b/>
    </w:rPr>
  </w:style>
  <w:style w:type="character" w:styleId="Carpredefinitoparagrafo">
    <w:name w:val="Car. predefinito paragrafo"/>
    <w:qFormat/>
    <w:rPr/>
  </w:style>
  <w:style w:type="character" w:styleId="Hyperlink">
    <w:name w:val="Hyperlink"/>
    <w:rPr>
      <w:color w:val="0000FF"/>
      <w:u w:val="single"/>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819" w:leader="none"/>
        <w:tab w:val="right" w:pos="9638" w:leader="none"/>
      </w:tabs>
    </w:pPr>
    <w:rPr/>
  </w:style>
  <w:style w:type="paragraph" w:styleId="Footer">
    <w:name w:val="Footer"/>
    <w:basedOn w:val="Normal"/>
    <w:pPr>
      <w:tabs>
        <w:tab w:val="clear" w:pos="708"/>
        <w:tab w:val="center" w:pos="4819" w:leader="none"/>
        <w:tab w:val="right" w:pos="9638" w:leader="none"/>
      </w:tabs>
    </w:pPr>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mailto:info@artegrafstampa.it" TargetMode="External"/><Relationship Id="rId2" Type="http://schemas.openxmlformats.org/officeDocument/2006/relationships/hyperlink" Target="http://www.artegrafstampa.it/" TargetMode="Externa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Carta Intestata.dot</Template>
  <TotalTime>1</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2026-09-10T11:52:00Z</dcterms:created>
  <dc:creator>manuela</dc:creator>
  <dc:description/>
  <cp:keywords/>
  <dc:language>en-US</dc:language>
  <cp:lastModifiedBy>Lorenzo Bambini</cp:lastModifiedBy>
  <cp:lastPrinted>2026-06-17T11:04:00Z</cp:lastPrinted>
  <dcterms:modified xsi:type="dcterms:W3CDTF">2026-09-10T11:52:00Z</dcterms:modified>
  <cp:revision>2</cp:revision>
  <dc:subject/>
  <dc:title/>
</cp:coreProperties>
</file>