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60" w:lineRule="auto"/>
        <w:rPr/>
      </w:pPr>
      <w:r w:rsidDel="00000000" w:rsidR="00000000" w:rsidRPr="00000000">
        <w:rPr>
          <w:rtl w:val="0"/>
        </w:rPr>
        <w:tab/>
        <w:tab/>
      </w:r>
      <w:r w:rsidDel="00000000" w:rsidR="00000000" w:rsidRPr="00000000">
        <w:rPr>
          <w:rFonts w:ascii="Calibri" w:cs="Calibri" w:eastAsia="Calibri" w:hAnsi="Calibri"/>
          <w:b w:val="1"/>
          <w:bCs w:val="1"/>
          <w:sz w:val="30"/>
          <w:szCs w:val="30"/>
          <w:rtl w:val="0"/>
        </w:rPr>
        <w:t xml:space="preserve">Whistleblowing Procedure</w:t>
      </w:r>
      <w:r w:rsidDel="00000000" w:rsidR="00000000" w:rsidRPr="00000000">
        <w:rPr>
          <w:rtl w:val="0"/>
        </w:rPr>
      </w:r>
    </w:p>
    <w:p w:rsidR="00000000" w:rsidDel="00000000" w:rsidP="00000000" w:rsidRDefault="00000000" w:rsidRPr="00000000" w14:paraId="00000004">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 Purpose</w:t>
      </w:r>
    </w:p>
    <w:p w:rsidR="00000000" w:rsidDel="00000000" w:rsidP="00000000" w:rsidRDefault="00000000" w:rsidRPr="00000000" w14:paraId="00000005">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Artegraf S.r.l. provides all its stakeholders with a stable, accessible and confidential channel through which to report conduct, situations or impacts considered improper, harmful or contrary to the company’s values and commitments. This procedure describes who may report, how to do so, how a report is handled and what protections are guaranteed to the reporting person.</w:t>
      </w:r>
    </w:p>
    <w:p w:rsidR="00000000" w:rsidDel="00000000" w:rsidP="00000000" w:rsidRDefault="00000000" w:rsidRPr="00000000" w14:paraId="00000006">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2. Who may report</w:t>
      </w:r>
    </w:p>
    <w:p w:rsidR="00000000" w:rsidDel="00000000" w:rsidP="00000000" w:rsidRDefault="00000000" w:rsidRPr="00000000" w14:paraId="00000007">
      <w:pPr>
        <w:spacing w:after="120" w:line="276" w:lineRule="auto"/>
        <w:jc w:val="both"/>
        <w:rPr/>
      </w:pPr>
      <w:r w:rsidDel="00000000" w:rsidR="00000000" w:rsidRPr="00000000">
        <w:rPr>
          <w:rFonts w:ascii="Calibri" w:cs="Calibri" w:eastAsia="Calibri" w:hAnsi="Calibri"/>
          <w:sz w:val="21"/>
          <w:szCs w:val="21"/>
          <w:rtl w:val="0"/>
        </w:rPr>
        <w:t xml:space="preserve">The channel is open to anyone who has a relationship with the company, in particular:</w:t>
      </w:r>
      <w:r w:rsidDel="00000000" w:rsidR="00000000" w:rsidRPr="00000000">
        <w:rPr>
          <w:rtl w:val="0"/>
        </w:rPr>
      </w:r>
    </w:p>
    <w:p w:rsidR="00000000" w:rsidDel="00000000" w:rsidP="00000000" w:rsidRDefault="00000000" w:rsidRPr="00000000" w14:paraId="00000008">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workers, including those on collaboration, internship or agency contracts;</w:t>
      </w:r>
      <w:r w:rsidDel="00000000" w:rsidR="00000000" w:rsidRPr="00000000">
        <w:rPr>
          <w:rtl w:val="0"/>
        </w:rPr>
      </w:r>
    </w:p>
    <w:p w:rsidR="00000000" w:rsidDel="00000000" w:rsidP="00000000" w:rsidRDefault="00000000" w:rsidRPr="00000000" w14:paraId="00000009">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customers and potential customers;</w:t>
      </w:r>
      <w:r w:rsidDel="00000000" w:rsidR="00000000" w:rsidRPr="00000000">
        <w:rPr>
          <w:rtl w:val="0"/>
        </w:rPr>
      </w:r>
    </w:p>
    <w:p w:rsidR="00000000" w:rsidDel="00000000" w:rsidP="00000000" w:rsidRDefault="00000000" w:rsidRPr="00000000" w14:paraId="0000000A">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suppliers, business partners and their employees;</w:t>
      </w:r>
      <w:r w:rsidDel="00000000" w:rsidR="00000000" w:rsidRPr="00000000">
        <w:rPr>
          <w:rtl w:val="0"/>
        </w:rPr>
      </w:r>
    </w:p>
    <w:p w:rsidR="00000000" w:rsidDel="00000000" w:rsidP="00000000" w:rsidRDefault="00000000" w:rsidRPr="00000000" w14:paraId="0000000B">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shareholders, governance bodies and consultants;</w:t>
      </w:r>
      <w:r w:rsidDel="00000000" w:rsidR="00000000" w:rsidRPr="00000000">
        <w:rPr>
          <w:rtl w:val="0"/>
        </w:rPr>
      </w:r>
    </w:p>
    <w:p w:rsidR="00000000" w:rsidDel="00000000" w:rsidP="00000000" w:rsidRDefault="00000000" w:rsidRPr="00000000" w14:paraId="0000000C">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members of the local community and other parties affected by the company’s activities.</w:t>
      </w:r>
      <w:r w:rsidDel="00000000" w:rsidR="00000000" w:rsidRPr="00000000">
        <w:rPr>
          <w:rtl w:val="0"/>
        </w:rPr>
      </w:r>
    </w:p>
    <w:p w:rsidR="00000000" w:rsidDel="00000000" w:rsidP="00000000" w:rsidRDefault="00000000" w:rsidRPr="00000000" w14:paraId="0000000D">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3. What can be reported</w:t>
      </w:r>
    </w:p>
    <w:p w:rsidR="00000000" w:rsidDel="00000000" w:rsidP="00000000" w:rsidRDefault="00000000" w:rsidRPr="00000000" w14:paraId="0000000E">
      <w:pPr>
        <w:spacing w:after="120" w:line="276" w:lineRule="auto"/>
        <w:jc w:val="both"/>
        <w:rPr/>
      </w:pPr>
      <w:r w:rsidDel="00000000" w:rsidR="00000000" w:rsidRPr="00000000">
        <w:rPr>
          <w:rFonts w:ascii="Calibri" w:cs="Calibri" w:eastAsia="Calibri" w:hAnsi="Calibri"/>
          <w:sz w:val="21"/>
          <w:szCs w:val="21"/>
          <w:rtl w:val="0"/>
        </w:rPr>
        <w:t xml:space="preserve">By way of example and without limitation: retaliation against a reporting person, breaches of the code of ethics or of internal procedures; improper conduct towards workers, customers or suppliers; discrimination, harassment or undue pressure; unmanaged environmental impacts; administrative or accounting irregularities; issues relating to customers served in sensitive sectors; any situation that may cause harm to people, the environment or the company’s reputation.</w:t>
      </w:r>
      <w:r w:rsidDel="00000000" w:rsidR="00000000" w:rsidRPr="00000000">
        <w:rPr>
          <w:rtl w:val="0"/>
        </w:rPr>
      </w:r>
    </w:p>
    <w:p w:rsidR="00000000" w:rsidDel="00000000" w:rsidP="00000000" w:rsidRDefault="00000000" w:rsidRPr="00000000" w14:paraId="0000000F">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4. How to make a report</w:t>
      </w:r>
    </w:p>
    <w:p w:rsidR="00000000" w:rsidDel="00000000" w:rsidP="00000000" w:rsidRDefault="00000000" w:rsidRPr="00000000" w14:paraId="00000010">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following channels are available:</w:t>
      </w:r>
    </w:p>
    <w:p w:rsidR="00000000" w:rsidDel="00000000" w:rsidP="00000000" w:rsidRDefault="00000000" w:rsidRPr="00000000" w14:paraId="00000011">
      <w:pPr>
        <w:spacing w:after="120" w:line="276" w:lineRule="auto"/>
        <w:jc w:val="both"/>
        <w:rPr/>
      </w:pPr>
      <w:r w:rsidDel="00000000" w:rsidR="00000000" w:rsidRPr="00000000">
        <w:rPr>
          <w:rFonts w:ascii="Calibri" w:cs="Calibri" w:eastAsia="Calibri" w:hAnsi="Calibri"/>
          <w:sz w:val="21"/>
          <w:szCs w:val="21"/>
          <w:rtl w:val="0"/>
        </w:rPr>
        <w:t xml:space="preserve">at </w:t>
      </w:r>
      <w:hyperlink r:id="rId8">
        <w:r w:rsidDel="00000000" w:rsidR="00000000" w:rsidRPr="00000000">
          <w:rPr>
            <w:rFonts w:ascii="Calibri" w:cs="Calibri" w:eastAsia="Calibri" w:hAnsi="Calibri"/>
            <w:color w:val="1155cc"/>
            <w:sz w:val="21"/>
            <w:szCs w:val="21"/>
            <w:u w:val="single"/>
            <w:rtl w:val="0"/>
          </w:rPr>
          <w:t xml:space="preserve">https://www.artegrafstampa.it/en/complaints-management-procedure/</w:t>
        </w:r>
      </w:hyperlink>
      <w:r w:rsidDel="00000000" w:rsidR="00000000" w:rsidRPr="00000000">
        <w:rPr>
          <w:rFonts w:ascii="Calibri" w:cs="Calibri" w:eastAsia="Calibri" w:hAnsi="Calibri"/>
          <w:sz w:val="21"/>
          <w:szCs w:val="21"/>
          <w:rtl w:val="0"/>
        </w:rPr>
        <w:t xml:space="preserve"> you will find access to the reporting form and the other related documents. At the request of the reporting person a direct meeting can be held within a reasonable time, with minutes taken subject to their consent.</w:t>
      </w:r>
      <w:r w:rsidDel="00000000" w:rsidR="00000000" w:rsidRPr="00000000">
        <w:rPr>
          <w:rtl w:val="0"/>
        </w:rPr>
      </w:r>
    </w:p>
    <w:p w:rsidR="00000000" w:rsidDel="00000000" w:rsidP="00000000" w:rsidRDefault="00000000" w:rsidRPr="00000000" w14:paraId="00000012">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Reports must not be sent by ordinary email or certified email (PEC): these tools do not ensure an adequate level of confidentiality and their use is expressly discouraged by the ANAC guidelines.</w:t>
      </w:r>
    </w:p>
    <w:p w:rsidR="00000000" w:rsidDel="00000000" w:rsidP="00000000" w:rsidRDefault="00000000" w:rsidRPr="00000000" w14:paraId="00000013">
      <w:pPr>
        <w:spacing w:after="120" w:line="276" w:lineRule="auto"/>
        <w:jc w:val="both"/>
        <w:rPr/>
      </w:pPr>
      <w:r w:rsidDel="00000000" w:rsidR="00000000" w:rsidRPr="00000000">
        <w:rPr>
          <w:rFonts w:ascii="Calibri" w:cs="Calibri" w:eastAsia="Calibri" w:hAnsi="Calibri"/>
          <w:sz w:val="21"/>
          <w:szCs w:val="21"/>
          <w:rtl w:val="0"/>
        </w:rPr>
        <w:t xml:space="preserve">A report may also be submitted anonymously. In that case the company will still proceed with the investigation, within the limits of the information available, but will not be able to provide individual feedback.</w:t>
      </w:r>
      <w:r w:rsidDel="00000000" w:rsidR="00000000" w:rsidRPr="00000000">
        <w:rPr>
          <w:rtl w:val="0"/>
        </w:rPr>
      </w:r>
    </w:p>
    <w:p w:rsidR="00000000" w:rsidDel="00000000" w:rsidP="00000000" w:rsidRDefault="00000000" w:rsidRPr="00000000" w14:paraId="00000014">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To allow a useful assessment, please indicate: the facts and circumstances, the place and period, the people involved, any supporting documents or evidence, and a contact for feedback.</w:t>
      </w:r>
    </w:p>
    <w:p w:rsidR="00000000" w:rsidDel="00000000" w:rsidP="00000000" w:rsidRDefault="00000000" w:rsidRPr="00000000" w14:paraId="00000015">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5. Admissibility criteria</w:t>
      </w:r>
    </w:p>
    <w:p w:rsidR="00000000" w:rsidDel="00000000" w:rsidP="00000000" w:rsidRDefault="00000000" w:rsidRPr="00000000" w14:paraId="00000016">
      <w:pPr>
        <w:spacing w:after="120" w:line="276" w:lineRule="auto"/>
        <w:jc w:val="both"/>
        <w:rPr/>
      </w:pPr>
      <w:r w:rsidDel="00000000" w:rsidR="00000000" w:rsidRPr="00000000">
        <w:rPr>
          <w:rFonts w:ascii="Calibri" w:cs="Calibri" w:eastAsia="Calibri" w:hAnsi="Calibri"/>
          <w:sz w:val="21"/>
          <w:szCs w:val="21"/>
          <w:rtl w:val="0"/>
        </w:rPr>
        <w:t xml:space="preserve">A report is taken up when it concerns facts relating to the activities, the people or the supply chain of Artegraf and contains sufficiently detailed elements to allow verification. The following are not handled as reports: purely personal claims already covered by specific procedures (for example individual employment disputes), ordinary commercial requests, and reports that are manifestly unfounded or made in bad faith.</w:t>
      </w:r>
      <w:r w:rsidDel="00000000" w:rsidR="00000000" w:rsidRPr="00000000">
        <w:rPr>
          <w:rtl w:val="0"/>
        </w:rPr>
      </w:r>
    </w:p>
    <w:p w:rsidR="00000000" w:rsidDel="00000000" w:rsidP="00000000" w:rsidRDefault="00000000" w:rsidRPr="00000000" w14:paraId="00000017">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6. Handling process and timeframes</w:t>
      </w:r>
    </w:p>
    <w:p w:rsidR="00000000" w:rsidDel="00000000" w:rsidP="00000000" w:rsidRDefault="00000000" w:rsidRPr="00000000" w14:paraId="00000018">
      <w:pPr>
        <w:spacing w:after="120" w:line="276" w:lineRule="auto"/>
        <w:jc w:val="both"/>
        <w:rPr/>
      </w:pPr>
      <w:r w:rsidDel="00000000" w:rsidR="00000000" w:rsidRPr="00000000">
        <w:rPr>
          <w:rFonts w:ascii="Calibri" w:cs="Calibri" w:eastAsia="Calibri" w:hAnsi="Calibri"/>
          <w:color w:val="000000"/>
          <w:sz w:val="21"/>
          <w:szCs w:val="21"/>
          <w:rtl w:val="0"/>
        </w:rPr>
        <w:t xml:space="preserve">Handling is entrusted to Martina Bambini, who operates independently of the areas covered by reports. In the event of a conflict of interest, or where the report concerns her, the case is transferred to Maria Mencarelli; if the conflict concerns both, the administrative body assigns the investigation to an independent external professional. The reporting person is told from the outset who will be involved or informed during the investigation.</w:t>
      </w:r>
      <w:r w:rsidDel="00000000" w:rsidR="00000000" w:rsidRPr="00000000">
        <w:rPr>
          <w:rtl w:val="0"/>
        </w:rPr>
      </w:r>
    </w:p>
    <w:p w:rsidR="00000000" w:rsidDel="00000000" w:rsidP="00000000" w:rsidRDefault="00000000" w:rsidRPr="00000000" w14:paraId="00000019">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Receipt and logging in a confidential register: immediate.</w:t>
      </w:r>
      <w:r w:rsidDel="00000000" w:rsidR="00000000" w:rsidRPr="00000000">
        <w:rPr>
          <w:rtl w:val="0"/>
        </w:rPr>
      </w:r>
    </w:p>
    <w:p w:rsidR="00000000" w:rsidDel="00000000" w:rsidP="00000000" w:rsidRDefault="00000000" w:rsidRPr="00000000" w14:paraId="0000001A">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Acknowledgement of receipt to the reporting person: within 7 days of receipt.</w:t>
      </w:r>
      <w:r w:rsidDel="00000000" w:rsidR="00000000" w:rsidRPr="00000000">
        <w:rPr>
          <w:rtl w:val="0"/>
        </w:rPr>
      </w:r>
    </w:p>
    <w:p w:rsidR="00000000" w:rsidDel="00000000" w:rsidP="00000000" w:rsidRDefault="00000000" w:rsidRPr="00000000" w14:paraId="0000001B">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Admissibility assessment: within 15 days; if the report is not accepted, the reasons are communicated to the reporting person.</w:t>
      </w:r>
      <w:r w:rsidDel="00000000" w:rsidR="00000000" w:rsidRPr="00000000">
        <w:rPr>
          <w:rtl w:val="0"/>
        </w:rPr>
      </w:r>
    </w:p>
    <w:p w:rsidR="00000000" w:rsidDel="00000000" w:rsidP="00000000" w:rsidRDefault="00000000" w:rsidRPr="00000000" w14:paraId="0000001C">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Preliminary assessment of the risk of retaliation, in particular for people in a position of greater vulnerability, and adoption of the necessary protective measures, where appropriate with the support of independent third parties.</w:t>
      </w:r>
      <w:r w:rsidDel="00000000" w:rsidR="00000000" w:rsidRPr="00000000">
        <w:rPr>
          <w:rtl w:val="0"/>
        </w:rPr>
      </w:r>
    </w:p>
    <w:p w:rsidR="00000000" w:rsidDel="00000000" w:rsidP="00000000" w:rsidRDefault="00000000" w:rsidRPr="00000000" w14:paraId="0000001D">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Investigation: hearing of the reporting person if requested, collection of documents, hearing of the people involved in compliance with the adversarial principle. The person concerned is informed of the allegations, of the applicable measures and of their right to submit observations and documents before any decision is taken.</w:t>
      </w:r>
      <w:r w:rsidDel="00000000" w:rsidR="00000000" w:rsidRPr="00000000">
        <w:rPr>
          <w:rtl w:val="0"/>
        </w:rPr>
      </w:r>
    </w:p>
    <w:p w:rsidR="00000000" w:rsidDel="00000000" w:rsidP="00000000" w:rsidRDefault="00000000" w:rsidRPr="00000000" w14:paraId="0000001E">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Interim measures, adopted immediately where needed to protect the reporting person or the integrity of the investigation: functional separation of the people involved, suspension of the detrimental act, precautionary suspension, freezing of orders to the supplier concerned.</w:t>
      </w:r>
      <w:r w:rsidDel="00000000" w:rsidR="00000000" w:rsidRPr="00000000">
        <w:rPr>
          <w:rtl w:val="0"/>
        </w:rPr>
      </w:r>
    </w:p>
    <w:p w:rsidR="00000000" w:rsidDel="00000000" w:rsidP="00000000" w:rsidRDefault="00000000" w:rsidRPr="00000000" w14:paraId="0000001F">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Feedback on the outcome and on the actions taken: within 3 months of the acknowledgement of receipt. If the investigation requires more time, the reporting person is informed of the state of progress and of the new expected deadline.</w:t>
      </w:r>
      <w:r w:rsidDel="00000000" w:rsidR="00000000" w:rsidRPr="00000000">
        <w:rPr>
          <w:rtl w:val="0"/>
        </w:rPr>
      </w:r>
    </w:p>
    <w:p w:rsidR="00000000" w:rsidDel="00000000" w:rsidP="00000000" w:rsidRDefault="00000000" w:rsidRPr="00000000" w14:paraId="00000020">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Definition of corrective and remedial actions, with an identified owner and deadline, and verification of their implementation.</w:t>
      </w:r>
      <w:r w:rsidDel="00000000" w:rsidR="00000000" w:rsidRPr="00000000">
        <w:rPr>
          <w:rtl w:val="0"/>
        </w:rPr>
      </w:r>
    </w:p>
    <w:p w:rsidR="00000000" w:rsidDel="00000000" w:rsidP="00000000" w:rsidRDefault="00000000" w:rsidRPr="00000000" w14:paraId="00000021">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7. Facilitating resolution, closure and verification</w:t>
      </w:r>
    </w:p>
    <w:p w:rsidR="00000000" w:rsidDel="00000000" w:rsidP="00000000" w:rsidRDefault="00000000" w:rsidRPr="00000000" w14:paraId="00000022">
      <w:pPr>
        <w:spacing w:after="120" w:line="276" w:lineRule="auto"/>
        <w:jc w:val="both"/>
        <w:rPr/>
      </w:pPr>
      <w:r w:rsidDel="00000000" w:rsidR="00000000" w:rsidRPr="00000000">
        <w:rPr>
          <w:rFonts w:ascii="Calibri" w:cs="Calibri" w:eastAsia="Calibri" w:hAnsi="Calibri"/>
          <w:color w:val="000000"/>
          <w:sz w:val="21"/>
          <w:szCs w:val="21"/>
          <w:rtl w:val="0"/>
        </w:rPr>
        <w:t xml:space="preserve">Where the matter can be settled and the parties agree, the Report Manager may arrange a facilitation or mediation conducted by an impartial third party: an internal person not involved in the matter, or an external professional. Facilitation neither suspends nor replaces the obligations to investigate and to apply the consequences set out in the Whistleblower Protection Policy.</w:t>
      </w:r>
      <w:r w:rsidDel="00000000" w:rsidR="00000000" w:rsidRPr="00000000">
        <w:rPr>
          <w:rtl w:val="0"/>
        </w:rPr>
      </w:r>
    </w:p>
    <w:p w:rsidR="00000000" w:rsidDel="00000000" w:rsidP="00000000" w:rsidRDefault="00000000" w:rsidRPr="00000000" w14:paraId="00000023">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The investigation is closed with reasoned minutes setting out the facts established, the corrective and remedial measures adopted, the person responsible for implementation and the expected timeframe.</w:t>
      </w:r>
      <w:r w:rsidDel="00000000" w:rsidR="00000000" w:rsidRPr="00000000">
        <w:rPr>
          <w:rtl w:val="0"/>
        </w:rPr>
      </w:r>
    </w:p>
    <w:p w:rsidR="00000000" w:rsidDel="00000000" w:rsidP="00000000" w:rsidRDefault="00000000" w:rsidRPr="00000000" w14:paraId="00000024">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The outcome is communicated to the reporting person and to the person concerned, within the limits allowed by confidentiality and by law.</w:t>
      </w:r>
      <w:r w:rsidDel="00000000" w:rsidR="00000000" w:rsidRPr="00000000">
        <w:rPr>
          <w:rtl w:val="0"/>
        </w:rPr>
      </w:r>
    </w:p>
    <w:p w:rsidR="00000000" w:rsidDel="00000000" w:rsidP="00000000" w:rsidRDefault="00000000" w:rsidRPr="00000000" w14:paraId="00000025">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The actual implementation of the measures is verified 3 and 6 months after closure, with a note in the register of reports and information to the administrative body.</w:t>
      </w:r>
      <w:r w:rsidDel="00000000" w:rsidR="00000000" w:rsidRPr="00000000">
        <w:rPr>
          <w:rtl w:val="0"/>
        </w:rPr>
      </w:r>
    </w:p>
    <w:p w:rsidR="00000000" w:rsidDel="00000000" w:rsidP="00000000" w:rsidRDefault="00000000" w:rsidRPr="00000000" w14:paraId="00000026">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The type and grading of the consequences applicable to each stakeholder — employees, collaborators, corporate bodies, suppliers, customers — are set out in section 4 of the Whistleblower Protection Policy.</w:t>
      </w:r>
      <w:r w:rsidDel="00000000" w:rsidR="00000000" w:rsidRPr="00000000">
        <w:rPr>
          <w:rtl w:val="0"/>
        </w:rPr>
      </w:r>
    </w:p>
    <w:p w:rsidR="00000000" w:rsidDel="00000000" w:rsidP="00000000" w:rsidRDefault="00000000" w:rsidRPr="00000000" w14:paraId="00000027">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8. Confidentiality and document management</w:t>
      </w:r>
    </w:p>
    <w:p w:rsidR="00000000" w:rsidDel="00000000" w:rsidP="00000000" w:rsidRDefault="00000000" w:rsidRPr="00000000" w14:paraId="00000028">
      <w:pPr>
        <w:spacing w:after="120" w:line="276" w:lineRule="auto"/>
        <w:jc w:val="both"/>
        <w:rPr/>
      </w:pPr>
      <w:r w:rsidDel="00000000" w:rsidR="00000000" w:rsidRPr="00000000">
        <w:rPr>
          <w:rFonts w:ascii="Calibri" w:cs="Calibri" w:eastAsia="Calibri" w:hAnsi="Calibri"/>
          <w:color w:val="000000"/>
          <w:sz w:val="21"/>
          <w:szCs w:val="21"/>
          <w:rtl w:val="0"/>
        </w:rPr>
        <w:t xml:space="preserve">The identity of the reporting person and any information that may reveal it are confidential and accessible only to the Report Manager; disclosure to third parties takes place solely with the consent of the person concerned or in the cases required by law, and before any necessary sharing the person concerned is informed. In internal communications, identifying data are redacted. Documentation is kept in a protected archive, with tracked access, for as long as is necessary for handling and in any case within the limits set by personal data protection legislation.</w:t>
      </w:r>
      <w:r w:rsidDel="00000000" w:rsidR="00000000" w:rsidRPr="00000000">
        <w:rPr>
          <w:rtl w:val="0"/>
        </w:rPr>
      </w:r>
    </w:p>
    <w:p w:rsidR="00000000" w:rsidDel="00000000" w:rsidP="00000000" w:rsidRDefault="00000000" w:rsidRPr="00000000" w14:paraId="00000029">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9. Reporting retaliation</w:t>
      </w:r>
    </w:p>
    <w:p w:rsidR="00000000" w:rsidDel="00000000" w:rsidP="00000000" w:rsidRDefault="00000000" w:rsidRPr="00000000" w14:paraId="0000002A">
      <w:pPr>
        <w:spacing w:after="120" w:line="276" w:lineRule="auto"/>
        <w:jc w:val="both"/>
        <w:rPr/>
      </w:pPr>
      <w:r w:rsidDel="00000000" w:rsidR="00000000" w:rsidRPr="00000000">
        <w:rPr>
          <w:rFonts w:ascii="Calibri" w:cs="Calibri" w:eastAsia="Calibri" w:hAnsi="Calibri"/>
          <w:color w:val="000000"/>
          <w:sz w:val="21"/>
          <w:szCs w:val="21"/>
          <w:rtl w:val="0"/>
        </w:rPr>
        <w:t xml:space="preserve">All forms of retaliation, including attempted retaliation, against anyone who makes a report in good faith, anyone who assists them and persons connected to them are prohibited and sanctioned. Alleged retaliation may be reported through the same channels indicated in section 4 and is handled as a priority, with immediate adoption of the necessary protective measures. Where the reporting person suffers a detrimental act after making a report, it is for the company to demonstrate that the act is motivated by reasons unrelated to the report. The prohibited conduct, the protections guaranteed and the applicable consequences are described in the Whistleblower Protection Policy, available at </w:t>
      </w:r>
      <w:hyperlink r:id="rId9">
        <w:r w:rsidDel="00000000" w:rsidR="00000000" w:rsidRPr="00000000">
          <w:rPr>
            <w:rFonts w:ascii="Calibri" w:cs="Calibri" w:eastAsia="Calibri" w:hAnsi="Calibri"/>
            <w:color w:val="1155cc"/>
            <w:sz w:val="21"/>
            <w:szCs w:val="21"/>
            <w:u w:val="single"/>
            <w:rtl w:val="0"/>
          </w:rPr>
          <w:t xml:space="preserve">https://www.artegrafstampa.it/wp-content/uploads/Whistleblower-Protection-Policy_EN.docx</w:t>
        </w:r>
      </w:hyperlink>
      <w:r w:rsidDel="00000000" w:rsidR="00000000" w:rsidRPr="00000000">
        <w:rPr>
          <w:rFonts w:ascii="Calibri" w:cs="Calibri" w:eastAsia="Calibri" w:hAnsi="Calibri"/>
          <w:color w:val="000000"/>
          <w:sz w:val="21"/>
          <w:szCs w:val="21"/>
          <w:rtl w:val="0"/>
        </w:rPr>
        <w:t xml:space="preserve">, which forms an integral part of this procedure.</w:t>
      </w:r>
      <w:r w:rsidDel="00000000" w:rsidR="00000000" w:rsidRPr="00000000">
        <w:rPr>
          <w:rtl w:val="0"/>
        </w:rPr>
      </w:r>
    </w:p>
    <w:p w:rsidR="00000000" w:rsidDel="00000000" w:rsidP="00000000" w:rsidRDefault="00000000" w:rsidRPr="00000000" w14:paraId="0000002B">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10. External channel and public disclosure</w:t>
      </w:r>
    </w:p>
    <w:p w:rsidR="00000000" w:rsidDel="00000000" w:rsidP="00000000" w:rsidRDefault="00000000" w:rsidRPr="00000000" w14:paraId="0000002C">
      <w:pPr>
        <w:spacing w:after="120" w:line="276" w:lineRule="auto"/>
        <w:jc w:val="both"/>
        <w:rPr/>
      </w:pPr>
      <w:r w:rsidDel="00000000" w:rsidR="00000000" w:rsidRPr="00000000">
        <w:rPr>
          <w:rFonts w:ascii="Calibri" w:cs="Calibri" w:eastAsia="Calibri" w:hAnsi="Calibri"/>
          <w:color w:val="000000"/>
          <w:sz w:val="21"/>
          <w:szCs w:val="21"/>
          <w:rtl w:val="0"/>
        </w:rPr>
        <w:t xml:space="preserve">This procedure does not limit the right to turn to the external reporting channel established and managed by the Italian National Anti-Corruption Authority (ANAC) under Legislative Decree 24/2023, accessible from the dedicated platform at www.anticorruzione.it. That channel is subsidiary in nature: the law gives precedence to the internal channel and allows recourse to ANAC in the cases set out in the decree, including the absence or non-compliance of the internal channel, the failure to adopt adequate measures following a report, a well-founded fear of retaliation, or an imminent or manifest danger to the public interest. Public disclosure is permitted only under the conditions exhaustively set out in the legislation.</w:t>
      </w:r>
      <w:r w:rsidDel="00000000" w:rsidR="00000000" w:rsidRPr="00000000">
        <w:rPr>
          <w:rtl w:val="0"/>
        </w:rPr>
      </w:r>
    </w:p>
    <w:p w:rsidR="00000000" w:rsidDel="00000000" w:rsidP="00000000" w:rsidRDefault="00000000" w:rsidRPr="00000000" w14:paraId="0000002D">
      <w:pPr>
        <w:spacing w:after="120" w:line="276" w:lineRule="auto"/>
        <w:jc w:val="both"/>
        <w:rPr/>
      </w:pPr>
      <w:r w:rsidDel="00000000" w:rsidR="00000000" w:rsidRPr="00000000">
        <w:rPr>
          <w:rFonts w:ascii="Calibri" w:cs="Calibri" w:eastAsia="Calibri" w:hAnsi="Calibri"/>
          <w:color w:val="000000"/>
          <w:sz w:val="21"/>
          <w:szCs w:val="21"/>
          <w:rtl w:val="0"/>
        </w:rPr>
        <w:t xml:space="preserve">The protections provided by the Whistleblower Protection Policy apply in full to anyone who uses the external channel or makes a public disclosure in the permitted cases. The company undertakes to keep its internal channel effective and accessible, so that recourse to the external channel remains an option and not a necessity.</w:t>
      </w:r>
      <w:r w:rsidDel="00000000" w:rsidR="00000000" w:rsidRPr="00000000">
        <w:rPr>
          <w:rtl w:val="0"/>
        </w:rPr>
      </w:r>
    </w:p>
    <w:p w:rsidR="00000000" w:rsidDel="00000000" w:rsidP="00000000" w:rsidRDefault="00000000" w:rsidRPr="00000000" w14:paraId="0000002E">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11. Register, training, review and transparency</w:t>
      </w:r>
    </w:p>
    <w:p w:rsidR="00000000" w:rsidDel="00000000" w:rsidP="00000000" w:rsidRDefault="00000000" w:rsidRPr="00000000" w14:paraId="0000002F">
      <w:pPr>
        <w:spacing w:after="120" w:line="276" w:lineRule="auto"/>
        <w:jc w:val="both"/>
        <w:rPr/>
      </w:pPr>
      <w:r w:rsidDel="00000000" w:rsidR="00000000" w:rsidRPr="00000000">
        <w:rPr>
          <w:rFonts w:ascii="Calibri" w:cs="Calibri" w:eastAsia="Calibri" w:hAnsi="Calibri"/>
          <w:color w:val="000000"/>
          <w:sz w:val="21"/>
          <w:szCs w:val="21"/>
          <w:rtl w:val="0"/>
        </w:rPr>
        <w:t xml:space="preserve">The Report Manager keeps a confidential register of the reports received, their outcomes and the corrective actions. At least annually, an aggregated and anonymous summary is prepared for the governance body, to help identify recurring causes and process improvements.</w:t>
      </w:r>
      <w:r w:rsidDel="00000000" w:rsidR="00000000" w:rsidRPr="00000000">
        <w:rPr>
          <w:rtl w:val="0"/>
        </w:rPr>
      </w:r>
    </w:p>
    <w:p w:rsidR="00000000" w:rsidDel="00000000" w:rsidP="00000000" w:rsidRDefault="00000000" w:rsidRPr="00000000" w14:paraId="00000030">
      <w:pPr>
        <w:spacing w:after="120" w:line="276" w:lineRule="auto"/>
        <w:jc w:val="both"/>
        <w:rPr/>
      </w:pPr>
      <w:r w:rsidDel="00000000" w:rsidR="00000000" w:rsidRPr="00000000">
        <w:rPr>
          <w:rFonts w:ascii="Calibri" w:cs="Calibri" w:eastAsia="Calibri" w:hAnsi="Calibri"/>
          <w:color w:val="000000"/>
          <w:sz w:val="21"/>
          <w:szCs w:val="21"/>
          <w:rtl w:val="0"/>
        </w:rPr>
        <w:t xml:space="preserve">Those who handle reports receive specific training on confidentiality, impartiality and the management of conflicts of interest; the whole organisation is informed of the existence of the channels and of the protections, and external stakeholders are informed as set out in section 4.6 of the Whistleblower Protection Policy. This procedure is published on the company website and reviewed at least every two years, or whenever the regulatory and organisational context changes.</w:t>
      </w:r>
      <w:r w:rsidDel="00000000" w:rsidR="00000000" w:rsidRPr="00000000">
        <w:rPr>
          <w:rtl w:val="0"/>
        </w:rPr>
      </w:r>
    </w:p>
    <w:p w:rsidR="00000000" w:rsidDel="00000000" w:rsidP="00000000" w:rsidRDefault="00000000" w:rsidRPr="00000000" w14:paraId="00000031">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12. Approval</w:t>
      </w:r>
    </w:p>
    <w:p w:rsidR="00000000" w:rsidDel="00000000" w:rsidP="00000000" w:rsidRDefault="00000000" w:rsidRPr="00000000" w14:paraId="00000032">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Approved by the Administrative Body on 10 September 2026. Responsible for review: Lorenzo Bambini.</w:t>
      </w:r>
    </w:p>
    <w:p w:rsidR="00000000" w:rsidDel="00000000" w:rsidP="00000000" w:rsidRDefault="00000000" w:rsidRPr="00000000" w14:paraId="00000033">
      <w:pPr>
        <w:rPr>
          <w:sz w:val="24"/>
          <w:szCs w:val="24"/>
        </w:rPr>
      </w:pPr>
      <w:r w:rsidDel="00000000" w:rsidR="00000000" w:rsidRPr="00000000">
        <w:rPr>
          <w:rtl w:val="0"/>
        </w:rPr>
        <w:tab/>
        <w:tab/>
        <w:tab/>
        <w:tab/>
        <w:tab/>
        <w:tab/>
        <w:tab/>
        <w:tab/>
        <w:t xml:space="preserve">    </w:t>
        <w:tab/>
      </w:r>
      <w:r w:rsidDel="00000000" w:rsidR="00000000" w:rsidRPr="00000000">
        <w:rPr>
          <w:rtl w:val="0"/>
        </w:rPr>
      </w:r>
    </w:p>
    <w:sectPr>
      <w:headerReference r:id="rId10" w:type="default"/>
      <w:footerReference r:id="rId11" w:type="default"/>
      <w:pgSz w:h="16838" w:w="11906" w:orient="portrait"/>
      <w:pgMar w:bottom="1134" w:top="1417" w:left="1134" w:right="386" w:header="708" w:footer="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Helvetica Neue">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1"/>
      <w:pBdr>
        <w:top w:space="0" w:sz="0" w:val="nil"/>
        <w:left w:space="0" w:sz="0" w:val="nil"/>
        <w:bottom w:color="000000" w:space="1" w:sz="6" w:val="single"/>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Artegraf s.r.l.</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06011 – Città di Castello – Perugia – Italy – Via Vittorini, 20/b loc. Cerbara</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Tel. 075.851.11.41 Fax 075.851.90.35 - e.Mail: </w:t>
    </w:r>
    <w:hyperlink r:id="rId2">
      <w:r w:rsidDel="00000000" w:rsidR="00000000" w:rsidRPr="00000000">
        <w:rPr>
          <w:rFonts w:ascii="Helvetica Neue" w:cs="Helvetica Neue" w:eastAsia="Helvetica Neue" w:hAnsi="Helvetica Neue"/>
          <w:b w:val="0"/>
          <w:bCs w:val="0"/>
          <w:i w:val="0"/>
          <w:iCs w:val="0"/>
          <w:smallCaps w:val="0"/>
          <w:strike w:val="0"/>
          <w:color w:val="000000"/>
          <w:sz w:val="20"/>
          <w:szCs w:val="20"/>
          <w:u w:val="single"/>
          <w:shd w:fill="auto" w:val="clear"/>
          <w:vertAlign w:val="baseline"/>
          <w:rtl w:val="0"/>
        </w:rPr>
        <w:t xml:space="preserve">info@artegrafstampa.it</w:t>
      </w:r>
    </w:hyperlink>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 </w:t>
    </w:r>
    <w:hyperlink r:id="rId3">
      <w:r w:rsidDel="00000000" w:rsidR="00000000" w:rsidRPr="00000000">
        <w:rPr>
          <w:rFonts w:ascii="Helvetica Neue" w:cs="Helvetica Neue" w:eastAsia="Helvetica Neue" w:hAnsi="Helvetica Neue"/>
          <w:b w:val="0"/>
          <w:bCs w:val="0"/>
          <w:i w:val="0"/>
          <w:iCs w:val="0"/>
          <w:smallCaps w:val="0"/>
          <w:strike w:val="0"/>
          <w:color w:val="000000"/>
          <w:sz w:val="20"/>
          <w:szCs w:val="20"/>
          <w:u w:val="single"/>
          <w:shd w:fill="auto" w:val="clear"/>
          <w:vertAlign w:val="baseline"/>
          <w:rtl w:val="0"/>
        </w:rPr>
        <w:t xml:space="preserve">www.artegrafstampa.it</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Immagine 1" style="width:494.25pt;height:126pt;visibility:visible;mso-wrap-style:square" o:spid="_x0000_i1025" type="#_x0000_t75">
          <v:imagedata cropbottom="-3f" cropleft="-1f" cropright="-1f" croptop="-3f" r:id="rId1" o:title=""/>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31" w:hanging="259"/>
      </w:pPr>
      <w:rPr>
        <w:rFonts w:ascii="Noto Sans Symbols" w:cs="Noto Sans Symbols" w:eastAsia="Noto Sans Symbols" w:hAnsi="Noto Sans Symbols"/>
      </w:rPr>
    </w:lvl>
    <w:lvl w:ilvl="1">
      <w:start w:val="1"/>
      <w:numFmt w:val="bullet"/>
      <w:lvlText w:val="−"/>
      <w:lvlJc w:val="left"/>
      <w:pPr>
        <w:ind w:left="863" w:hanging="259"/>
      </w:pPr>
      <w:rPr>
        <w:rFonts w:ascii="Noto Sans Symbols" w:cs="Noto Sans Symbols" w:eastAsia="Noto Sans Symbols" w:hAnsi="Noto Sans Symbols"/>
      </w:rPr>
    </w:lvl>
    <w:lvl w:ilvl="2">
      <w:start w:val="1"/>
      <w:numFmt w:val="bullet"/>
      <w:lvlText w:val="←"/>
      <w:lvlJc w:val="left"/>
      <w:pPr>
        <w:ind w:left="0" w:firstLine="0"/>
      </w:pPr>
      <w:rPr>
        <w:rFonts w:ascii="Noto Sans Symbols" w:cs="Noto Sans Symbols" w:eastAsia="Noto Sans Symbols" w:hAnsi="Noto Sans Symbols"/>
      </w:rPr>
    </w:lvl>
    <w:lvl w:ilvl="3">
      <w:start w:val="1"/>
      <w:numFmt w:val="bullet"/>
      <w:lvlText w:val="←"/>
      <w:lvlJc w:val="left"/>
      <w:pPr>
        <w:ind w:left="0" w:firstLine="0"/>
      </w:pPr>
      <w:rPr>
        <w:rFonts w:ascii="Noto Sans Symbols" w:cs="Noto Sans Symbols" w:eastAsia="Noto Sans Symbols" w:hAnsi="Noto Sans Symbols"/>
      </w:rPr>
    </w:lvl>
    <w:lvl w:ilvl="4">
      <w:start w:val="1"/>
      <w:numFmt w:val="bullet"/>
      <w:lvlText w:val="←"/>
      <w:lvlJc w:val="left"/>
      <w:pPr>
        <w:ind w:left="0" w:firstLine="0"/>
      </w:pPr>
      <w:rPr>
        <w:rFonts w:ascii="Noto Sans Symbols" w:cs="Noto Sans Symbols" w:eastAsia="Noto Sans Symbols" w:hAnsi="Noto Sans Symbols"/>
      </w:rPr>
    </w:lvl>
    <w:lvl w:ilvl="5">
      <w:start w:val="1"/>
      <w:numFmt w:val="bullet"/>
      <w:lvlText w:val="←"/>
      <w:lvlJc w:val="left"/>
      <w:pPr>
        <w:ind w:left="0" w:firstLine="0"/>
      </w:pPr>
      <w:rPr>
        <w:rFonts w:ascii="Noto Sans Symbols" w:cs="Noto Sans Symbols" w:eastAsia="Noto Sans Symbols" w:hAnsi="Noto Sans Symbols"/>
      </w:rPr>
    </w:lvl>
    <w:lvl w:ilvl="6">
      <w:start w:val="1"/>
      <w:numFmt w:val="bullet"/>
      <w:lvlText w:val="←"/>
      <w:lvlJc w:val="left"/>
      <w:pPr>
        <w:ind w:left="0" w:firstLine="0"/>
      </w:pPr>
      <w:rPr>
        <w:rFonts w:ascii="Noto Sans Symbols" w:cs="Noto Sans Symbols" w:eastAsia="Noto Sans Symbols" w:hAnsi="Noto Sans Symbols"/>
      </w:rPr>
    </w:lvl>
    <w:lvl w:ilvl="7">
      <w:start w:val="1"/>
      <w:numFmt w:val="bullet"/>
      <w:lvlText w:val="←"/>
      <w:lvlJc w:val="left"/>
      <w:pPr>
        <w:ind w:left="0" w:firstLine="0"/>
      </w:pPr>
      <w:rPr>
        <w:rFonts w:ascii="Noto Sans Symbols" w:cs="Noto Sans Symbols" w:eastAsia="Noto Sans Symbols" w:hAnsi="Noto Sans Symbols"/>
      </w:rPr>
    </w:lvl>
    <w:lvl w:ilvl="8">
      <w:start w:val="1"/>
      <w:numFmt w:val="bullet"/>
      <w:lvlText w:val="←"/>
      <w:lvlJc w:val="left"/>
      <w:pPr>
        <w:ind w:left="0" w:firstLine="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firstLine="0"/>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rPr>
      <w:color w:val="0000ff"/>
      <w:u w:val="single"/>
    </w:rPr>
  </w:style>
  <w:style w:type="paragraph" w:styleId="Heading" w:customStyle="1">
    <w:name w:val="Heading"/>
    <w:basedOn w:val="Normale"/>
    <w:next w:val="Corpotesto"/>
    <w:qFormat w:val="1"/>
    <w:pPr>
      <w:keepNext w:val="1"/>
      <w:spacing w:after="120" w:before="240"/>
    </w:pPr>
    <w:rPr>
      <w:rFonts w:ascii="Liberation Sans" w:cs="FreeSans" w:eastAsia="Noto Sans CJK SC" w:hAnsi="Liberation 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val="1"/>
    <w:pPr>
      <w:suppressLineNumbers w:val="1"/>
      <w:spacing w:after="120" w:before="120"/>
    </w:pPr>
    <w:rPr>
      <w:rFonts w:cs="FreeSans"/>
      <w:i w:val="1"/>
      <w:iCs w:val="1"/>
      <w:sz w:val="24"/>
      <w:szCs w:val="24"/>
    </w:rPr>
  </w:style>
  <w:style w:type="paragraph" w:styleId="Index" w:customStyle="1">
    <w:name w:val="Index"/>
    <w:basedOn w:val="Normale"/>
    <w:qFormat w:val="1"/>
    <w:pPr>
      <w:suppressLineNumbers w:val="1"/>
    </w:pPr>
    <w:rPr>
      <w:rFonts w:cs="FreeSans"/>
    </w:rPr>
  </w:style>
  <w:style w:type="paragraph" w:styleId="HeaderandFooter" w:customStyle="1">
    <w:name w:val="Header and Footer"/>
    <w:basedOn w:val="Normale"/>
    <w:qFormat w:val="1"/>
    <w:pPr>
      <w:suppressLineNumbers w:val="1"/>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numbering" w:styleId="WW8Num1" w:customStyle="1">
    <w:name w:val="WW8Num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artegrafstampa.it/wp-content/uploads/Whistleblower-Protection-Policy_EN.docx"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artegrafstampa.it/en/complaints-management-procedure/"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HelveticaNeue-regular.ttf"/><Relationship Id="rId3" Type="http://schemas.openxmlformats.org/officeDocument/2006/relationships/font" Target="fonts/HelveticaNeue-bold.ttf"/><Relationship Id="rId4" Type="http://schemas.openxmlformats.org/officeDocument/2006/relationships/font" Target="fonts/HelveticaNeue-italic.ttf"/><Relationship Id="rId5" Type="http://schemas.openxmlformats.org/officeDocument/2006/relationships/font" Target="fonts/HelveticaNeue-bold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2" Type="http://schemas.openxmlformats.org/officeDocument/2006/relationships/hyperlink" Target="mailto:info@artegrafstampa.it" TargetMode="External"/><Relationship Id="rId3" Type="http://schemas.openxmlformats.org/officeDocument/2006/relationships/hyperlink" Target="http://www.artegrafstamp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SgZxj1Kwvr8+xJFMwn+Az/bPlQ==">CgMxLjA4AHIhMWlvdXJhY0c1S3VTTEFzLWJQQm9XbTBWdE1hUkFPSk1i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